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360" w:hanging="265"/>
        <w:spacing w:after="0"/>
        <w:tabs>
          <w:tab w:leader="none" w:pos="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60" w:hanging="265"/>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4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For the transition period from __ to __</w:t>
      </w:r>
    </w:p>
    <w:p>
      <w:pPr>
        <w:spacing w:after="0" w:line="225"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-93345</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00"/>
        </w:trPr>
        <w:tc>
          <w:tcPr>
            <w:tcW w:w="5000" w:type="dxa"/>
            <w:vAlign w:val="bottom"/>
            <w:gridSpan w:val="4"/>
            <w:vMerge w:val="restart"/>
          </w:tcPr>
          <w:p>
            <w:pPr>
              <w:jc w:val="center"/>
              <w:ind w:left="11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0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gridSpan w:val="3"/>
          </w:tcPr>
          <w:p>
            <w:pPr>
              <w:jc w:val="right"/>
              <w:ind w:right="2270"/>
              <w:spacing w:after="0"/>
              <w:rPr>
                <w:sz w:val="20"/>
                <w:szCs w:val="20"/>
                <w:color w:val="auto"/>
              </w:rPr>
            </w:pPr>
            <w:r>
              <w:rPr>
                <w:rFonts w:ascii="Arial" w:cs="Arial" w:eastAsia="Arial" w:hAnsi="Arial"/>
                <w:sz w:val="18"/>
                <w:szCs w:val="18"/>
                <w:b w:val="1"/>
                <w:bCs w:val="1"/>
                <w:color w:val="auto"/>
              </w:rPr>
              <w:t>22-3341267</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2980" w:type="dxa"/>
            <w:vAlign w:val="bottom"/>
            <w:gridSpan w:val="5"/>
          </w:tcPr>
          <w:p>
            <w:pPr>
              <w:jc w:val="center"/>
              <w:ind w:right="30"/>
              <w:spacing w:after="0" w:line="202" w:lineRule="exact"/>
              <w:rPr>
                <w:sz w:val="20"/>
                <w:szCs w:val="20"/>
                <w:color w:val="auto"/>
              </w:rPr>
            </w:pPr>
            <w:r>
              <w:rPr>
                <w:rFonts w:ascii="Arial" w:cs="Arial" w:eastAsia="Arial" w:hAnsi="Arial"/>
                <w:sz w:val="18"/>
                <w:szCs w:val="18"/>
                <w:i w:val="1"/>
                <w:iCs w:val="1"/>
                <w:color w:val="auto"/>
                <w:w w:val="93"/>
              </w:rPr>
              <w:t>(State or other jurisdiction of</w:t>
            </w:r>
          </w:p>
        </w:tc>
        <w:tc>
          <w:tcPr>
            <w:tcW w:w="4820" w:type="dxa"/>
            <w:vAlign w:val="bottom"/>
            <w:gridSpan w:val="5"/>
          </w:tcPr>
          <w:p>
            <w:pPr>
              <w:jc w:val="center"/>
              <w:ind w:right="3220"/>
              <w:spacing w:after="0" w:line="202" w:lineRule="exact"/>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4"/>
              </w:rPr>
              <w:t>incorporation or organization)</w:t>
            </w:r>
          </w:p>
        </w:tc>
        <w:tc>
          <w:tcPr>
            <w:tcW w:w="4820" w:type="dxa"/>
            <w:vAlign w:val="bottom"/>
            <w:gridSpan w:val="5"/>
          </w:tcPr>
          <w:p>
            <w:pPr>
              <w:jc w:val="center"/>
              <w:ind w:right="3220"/>
              <w:spacing w:after="0"/>
              <w:rPr>
                <w:sz w:val="20"/>
                <w:szCs w:val="20"/>
                <w:color w:val="auto"/>
              </w:rPr>
            </w:pPr>
            <w:r>
              <w:rPr>
                <w:rFonts w:ascii="Arial" w:cs="Arial" w:eastAsia="Arial" w:hAnsi="Arial"/>
                <w:sz w:val="18"/>
                <w:szCs w:val="18"/>
                <w:i w:val="1"/>
                <w:iCs w:val="1"/>
                <w:color w:val="auto"/>
                <w:w w:val="94"/>
              </w:rPr>
              <w:t>Identification No.)</w:t>
            </w:r>
          </w:p>
        </w:tc>
        <w:tc>
          <w:tcPr>
            <w:tcW w:w="0" w:type="dxa"/>
            <w:vAlign w:val="bottom"/>
          </w:tcPr>
          <w:p>
            <w:pPr>
              <w:spacing w:after="0"/>
              <w:rPr>
                <w:sz w:val="1"/>
                <w:szCs w:val="1"/>
                <w:color w:val="auto"/>
              </w:rPr>
            </w:pPr>
          </w:p>
        </w:tc>
      </w:tr>
      <w:tr>
        <w:trPr>
          <w:trHeight w:val="485"/>
        </w:trPr>
        <w:tc>
          <w:tcPr>
            <w:tcW w:w="3420" w:type="dxa"/>
            <w:vAlign w:val="bottom"/>
          </w:tcPr>
          <w:p>
            <w:pPr>
              <w:spacing w:after="0"/>
              <w:rPr>
                <w:sz w:val="24"/>
                <w:szCs w:val="24"/>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195 Clarksville Road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2"/>
                <w:szCs w:val="22"/>
                <w:color w:val="auto"/>
              </w:rPr>
            </w:pPr>
          </w:p>
        </w:tc>
        <w:tc>
          <w:tcPr>
            <w:tcW w:w="2980" w:type="dxa"/>
            <w:vAlign w:val="bottom"/>
            <w:gridSpan w:val="5"/>
          </w:tcPr>
          <w:p>
            <w:pPr>
              <w:ind w:left="80"/>
              <w:spacing w:after="0"/>
              <w:rPr>
                <w:sz w:val="20"/>
                <w:szCs w:val="20"/>
                <w:color w:val="auto"/>
              </w:rPr>
            </w:pPr>
            <w:r>
              <w:rPr>
                <w:rFonts w:ascii="Arial" w:cs="Arial" w:eastAsia="Arial" w:hAnsi="Arial"/>
                <w:sz w:val="18"/>
                <w:szCs w:val="18"/>
                <w:b w:val="1"/>
                <w:bCs w:val="1"/>
                <w:color w:val="auto"/>
              </w:rPr>
              <w:t>Princeton Junction, New Jersey</w:t>
            </w:r>
          </w:p>
        </w:tc>
        <w:tc>
          <w:tcPr>
            <w:tcW w:w="36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08550</w:t>
            </w: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gridSpan w:val="3"/>
          </w:tcPr>
          <w:p>
            <w:pPr>
              <w:jc w:val="center"/>
              <w:ind w:right="3560"/>
              <w:spacing w:after="0"/>
              <w:rPr>
                <w:sz w:val="20"/>
                <w:szCs w:val="20"/>
                <w:color w:val="auto"/>
              </w:rPr>
            </w:pPr>
            <w:r>
              <w:rPr>
                <w:rFonts w:ascii="Arial" w:cs="Arial" w:eastAsia="Arial" w:hAnsi="Arial"/>
                <w:sz w:val="18"/>
                <w:szCs w:val="18"/>
                <w:i w:val="1"/>
                <w:iCs w:val="1"/>
                <w:color w:val="auto"/>
                <w:w w:val="94"/>
              </w:rPr>
              <w:t>(Zip Code)</w:t>
            </w:r>
          </w:p>
        </w:tc>
        <w:tc>
          <w:tcPr>
            <w:tcW w:w="0" w:type="dxa"/>
            <w:vAlign w:val="bottom"/>
          </w:tcPr>
          <w:p>
            <w:pPr>
              <w:spacing w:after="0"/>
              <w:rPr>
                <w:sz w:val="1"/>
                <w:szCs w:val="1"/>
                <w:color w:val="auto"/>
              </w:rPr>
            </w:pPr>
          </w:p>
        </w:tc>
      </w:tr>
      <w:tr>
        <w:trPr>
          <w:trHeight w:val="540"/>
        </w:trPr>
        <w:tc>
          <w:tcPr>
            <w:tcW w:w="3420" w:type="dxa"/>
            <w:vAlign w:val="bottom"/>
          </w:tcPr>
          <w:p>
            <w:pPr>
              <w:spacing w:after="0"/>
              <w:rPr>
                <w:sz w:val="24"/>
                <w:szCs w:val="24"/>
                <w:color w:val="auto"/>
              </w:rPr>
            </w:pPr>
          </w:p>
        </w:tc>
        <w:tc>
          <w:tcPr>
            <w:tcW w:w="2980" w:type="dxa"/>
            <w:vAlign w:val="bottom"/>
            <w:gridSpan w:val="5"/>
          </w:tcPr>
          <w:p>
            <w:pPr>
              <w:jc w:val="center"/>
              <w:ind w:left="1330"/>
              <w:spacing w:after="0"/>
              <w:rPr>
                <w:sz w:val="20"/>
                <w:szCs w:val="20"/>
                <w:color w:val="auto"/>
              </w:rPr>
            </w:pPr>
            <w:r>
              <w:rPr>
                <w:rFonts w:ascii="Arial" w:cs="Arial" w:eastAsia="Arial" w:hAnsi="Arial"/>
                <w:sz w:val="18"/>
                <w:szCs w:val="18"/>
                <w:b w:val="1"/>
                <w:bCs w:val="1"/>
                <w:color w:val="auto"/>
                <w:w w:val="90"/>
              </w:rPr>
              <w:t>(609) 716-4000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60" w:type="dxa"/>
            <w:vAlign w:val="bottom"/>
            <w:gridSpan w:val="5"/>
            <w:vMerge w:val="restart"/>
          </w:tcPr>
          <w:p>
            <w:pPr>
              <w:jc w:val="center"/>
              <w:ind w:left="107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06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1"/>
        </w:trPr>
        <w:tc>
          <w:tcPr>
            <w:tcW w:w="640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i w:val="1"/>
                <w:iCs w:val="1"/>
                <w:color w:val="auto"/>
                <w:w w:val="90"/>
              </w:rPr>
              <w:t>Title of each class</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i w:val="1"/>
                <w:iCs w:val="1"/>
                <w:color w:val="auto"/>
                <w:w w:val="91"/>
              </w:rPr>
              <w:t>Trading Symbol(s)</w:t>
            </w:r>
          </w:p>
        </w:tc>
        <w:tc>
          <w:tcPr>
            <w:tcW w:w="2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c>
          <w:tcPr>
            <w:tcW w:w="0" w:type="dxa"/>
            <w:vAlign w:val="bottom"/>
          </w:tcPr>
          <w:p>
            <w:pPr>
              <w:spacing w:after="0"/>
              <w:rPr>
                <w:sz w:val="1"/>
                <w:szCs w:val="1"/>
                <w:color w:val="auto"/>
              </w:rPr>
            </w:pPr>
          </w:p>
        </w:tc>
      </w:tr>
      <w:tr>
        <w:trPr>
          <w:trHeight w:val="230"/>
        </w:trPr>
        <w:tc>
          <w:tcPr>
            <w:tcW w:w="3420" w:type="dxa"/>
            <w:vAlign w:val="bottom"/>
          </w:tcPr>
          <w:p>
            <w:pPr>
              <w:jc w:val="center"/>
              <w:ind w:left="990"/>
              <w:spacing w:after="0"/>
              <w:rPr>
                <w:sz w:val="20"/>
                <w:szCs w:val="20"/>
                <w:color w:val="auto"/>
              </w:rPr>
            </w:pPr>
            <w:r>
              <w:rPr>
                <w:rFonts w:ascii="Arial" w:cs="Arial" w:eastAsia="Arial" w:hAnsi="Arial"/>
                <w:sz w:val="18"/>
                <w:szCs w:val="18"/>
                <w:color w:val="auto"/>
                <w:w w:val="90"/>
              </w:rPr>
              <w:t>Common Stock, $0.01 par value</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color w:val="auto"/>
                <w:w w:val="96"/>
              </w:rPr>
              <w:t>MG</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4"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193"/>
        </w:trPr>
        <w:tc>
          <w:tcPr>
            <w:tcW w:w="2000" w:type="dxa"/>
            <w:vAlign w:val="bottom"/>
          </w:tcPr>
          <w:p>
            <w:pPr>
              <w:spacing w:after="0" w:line="193" w:lineRule="exact"/>
              <w:rPr>
                <w:sz w:val="20"/>
                <w:szCs w:val="20"/>
                <w:color w:val="auto"/>
              </w:rPr>
            </w:pPr>
            <w:r>
              <w:rPr>
                <w:rFonts w:ascii="Arial" w:cs="Arial" w:eastAsia="Arial" w:hAnsi="Arial"/>
                <w:sz w:val="18"/>
                <w:szCs w:val="18"/>
                <w:color w:val="auto"/>
              </w:rPr>
              <w:t>Large accelerated filer</w:t>
            </w:r>
          </w:p>
        </w:tc>
        <w:tc>
          <w:tcPr>
            <w:tcW w:w="2500" w:type="dxa"/>
            <w:vAlign w:val="bottom"/>
          </w:tcPr>
          <w:p>
            <w:pPr>
              <w:ind w:left="380"/>
              <w:spacing w:after="0" w:line="193" w:lineRule="exact"/>
              <w:rPr>
                <w:sz w:val="20"/>
                <w:szCs w:val="20"/>
                <w:color w:val="auto"/>
              </w:rPr>
            </w:pPr>
            <w:r>
              <w:rPr>
                <w:rFonts w:ascii="Arial" w:cs="Arial" w:eastAsia="Arial" w:hAnsi="Arial"/>
                <w:sz w:val="18"/>
                <w:szCs w:val="18"/>
                <w:color w:val="auto"/>
              </w:rPr>
              <w:t>o</w:t>
            </w:r>
          </w:p>
        </w:tc>
        <w:tc>
          <w:tcPr>
            <w:tcW w:w="4480" w:type="dxa"/>
            <w:vAlign w:val="bottom"/>
          </w:tcPr>
          <w:p>
            <w:pPr>
              <w:ind w:left="2040"/>
              <w:spacing w:after="0" w:line="193" w:lineRule="exact"/>
              <w:rPr>
                <w:sz w:val="20"/>
                <w:szCs w:val="20"/>
                <w:color w:val="auto"/>
              </w:rPr>
            </w:pPr>
            <w:r>
              <w:rPr>
                <w:rFonts w:ascii="Arial" w:cs="Arial" w:eastAsia="Arial" w:hAnsi="Arial"/>
                <w:sz w:val="18"/>
                <w:szCs w:val="18"/>
                <w:color w:val="auto"/>
              </w:rPr>
              <w:t>Accelerated filer</w:t>
            </w:r>
          </w:p>
        </w:tc>
        <w:tc>
          <w:tcPr>
            <w:tcW w:w="560" w:type="dxa"/>
            <w:vAlign w:val="bottom"/>
          </w:tcPr>
          <w:p>
            <w:pPr>
              <w:jc w:val="center"/>
              <w:ind w:left="330"/>
              <w:spacing w:after="0" w:line="193" w:lineRule="exact"/>
              <w:rPr>
                <w:sz w:val="20"/>
                <w:szCs w:val="20"/>
                <w:color w:val="auto"/>
              </w:rPr>
            </w:pPr>
            <w:r>
              <w:rPr>
                <w:rFonts w:ascii="Arial" w:cs="Arial" w:eastAsia="Arial" w:hAnsi="Arial"/>
                <w:sz w:val="18"/>
                <w:szCs w:val="18"/>
                <w:color w:val="auto"/>
              </w:rPr>
              <w:t>x</w:t>
            </w: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380"/>
              <w:spacing w:after="0"/>
              <w:rPr>
                <w:sz w:val="20"/>
                <w:szCs w:val="20"/>
                <w:color w:val="auto"/>
              </w:rPr>
            </w:pPr>
            <w:r>
              <w:rPr>
                <w:rFonts w:ascii="Arial" w:cs="Arial" w:eastAsia="Arial" w:hAnsi="Arial"/>
                <w:sz w:val="18"/>
                <w:szCs w:val="18"/>
                <w:color w:val="auto"/>
              </w:rPr>
              <w:t>o</w:t>
            </w:r>
          </w:p>
        </w:tc>
        <w:tc>
          <w:tcPr>
            <w:tcW w:w="448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48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40"/>
          </w:cols>
          <w:pgMar w:left="320" w:top="229" w:right="339" w:bottom="0" w:gutter="0" w:footer="0" w:header="0"/>
        </w:sect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As of August 3, 2023, the registrant had 30,301,985 shares of common stock outstanding.</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830580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140335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OF CONTENTS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980" w:type="dxa"/>
            <w:vAlign w:val="bottom"/>
            <w:gridSpan w:val="11"/>
            <w:vMerge w:val="restart"/>
          </w:tcPr>
          <w:p>
            <w:pPr>
              <w:spacing w:after="0"/>
              <w:rPr>
                <w:sz w:val="20"/>
                <w:szCs w:val="20"/>
                <w:color w:val="auto"/>
              </w:rPr>
            </w:pPr>
            <w:r>
              <w:rPr>
                <w:rFonts w:ascii="Arial" w:cs="Arial" w:eastAsia="Arial" w:hAnsi="Arial"/>
                <w:sz w:val="18"/>
                <w:szCs w:val="18"/>
                <w:color w:val="0000FF"/>
                <w:w w:val="98"/>
              </w:rPr>
              <w:t>PART I—FINANCIAL INFORMATION</w:t>
            </w:r>
          </w:p>
        </w:tc>
        <w:tc>
          <w:tcPr>
            <w:tcW w:w="7520" w:type="dxa"/>
            <w:vAlign w:val="bottom"/>
            <w:gridSpan w:val="15"/>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1"/>
            <w:vMerge w:val="continue"/>
          </w:tcPr>
          <w:p>
            <w:pPr>
              <w:spacing w:after="0"/>
              <w:rPr>
                <w:sz w:val="14"/>
                <w:szCs w:val="14"/>
                <w:color w:val="auto"/>
              </w:rPr>
            </w:pPr>
          </w:p>
        </w:tc>
        <w:tc>
          <w:tcPr>
            <w:tcW w:w="7520" w:type="dxa"/>
            <w:vAlign w:val="bottom"/>
            <w:gridSpan w:val="15"/>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5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82"/>
              </w:rPr>
              <w:t>ITEM 1.</w:t>
            </w:r>
          </w:p>
        </w:tc>
        <w:tc>
          <w:tcPr>
            <w:tcW w:w="580" w:type="dxa"/>
            <w:vAlign w:val="bottom"/>
            <w:gridSpan w:val="2"/>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Financial Statements</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0" w:type="dxa"/>
            <w:vAlign w:val="bottom"/>
            <w:gridSpan w:val="16"/>
          </w:tcPr>
          <w:p>
            <w:pPr>
              <w:spacing w:after="0"/>
              <w:rPr>
                <w:sz w:val="20"/>
                <w:szCs w:val="20"/>
                <w:color w:val="auto"/>
              </w:rPr>
            </w:pPr>
            <w:r>
              <w:rPr>
                <w:rFonts w:ascii="Arial" w:cs="Arial" w:eastAsia="Arial" w:hAnsi="Arial"/>
                <w:sz w:val="18"/>
                <w:szCs w:val="18"/>
                <w:color w:val="0E32E1"/>
                <w:w w:val="88"/>
              </w:rPr>
              <w:t>Condensed Consolidated Balance Sheets as of June 30, 2023 (unaudited) and December 31, 2022</w:t>
            </w:r>
          </w:p>
        </w:tc>
        <w:tc>
          <w:tcPr>
            <w:tcW w:w="1860" w:type="dxa"/>
            <w:vAlign w:val="bottom"/>
            <w:gridSpan w:val="6"/>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0E32E1"/>
            </w:tcBorders>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 w:type="dxa"/>
            <w:vAlign w:val="bottom"/>
            <w:tcBorders>
              <w:left w:val="single" w:sz="8" w:color="0E32E1"/>
            </w:tcBorders>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2000" w:type="dxa"/>
            <w:vAlign w:val="bottom"/>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E32E1"/>
                <w:w w:val="91"/>
              </w:rPr>
              <w:t>Unaudited Condensed Consolidated Statements of Income (Loss) for the three and six months ended June 30, 2023 and</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20" w:type="dxa"/>
            <w:vAlign w:val="bottom"/>
            <w:tcBorders>
              <w:top w:val="single" w:sz="8" w:color="0E32E1"/>
            </w:tcBorders>
            <w:gridSpan w:val="13"/>
          </w:tcPr>
          <w:p>
            <w:pPr>
              <w:spacing w:after="0" w:line="156" w:lineRule="exact"/>
              <w:rPr>
                <w:sz w:val="20"/>
                <w:szCs w:val="20"/>
                <w:color w:val="auto"/>
              </w:rPr>
            </w:pPr>
            <w:r>
              <w:rPr>
                <w:rFonts w:ascii="Arial" w:cs="Arial" w:eastAsia="Arial" w:hAnsi="Arial"/>
                <w:sz w:val="18"/>
                <w:szCs w:val="18"/>
                <w:color w:val="0E32E1"/>
              </w:rPr>
              <w:t>June 30, 2022</w:t>
            </w:r>
          </w:p>
        </w:tc>
        <w:tc>
          <w:tcPr>
            <w:tcW w:w="40" w:type="dxa"/>
            <w:vAlign w:val="bottom"/>
          </w:tcPr>
          <w:p>
            <w:pPr>
              <w:spacing w:after="0"/>
              <w:rPr>
                <w:sz w:val="13"/>
                <w:szCs w:val="13"/>
                <w:color w:val="auto"/>
              </w:rPr>
            </w:pPr>
          </w:p>
        </w:tc>
        <w:tc>
          <w:tcPr>
            <w:tcW w:w="1180" w:type="dxa"/>
            <w:vAlign w:val="bottom"/>
            <w:tcBorders>
              <w:top w:val="single" w:sz="8" w:color="0E32E1"/>
            </w:tcBorders>
          </w:tcPr>
          <w:p>
            <w:pPr>
              <w:spacing w:after="0"/>
              <w:rPr>
                <w:sz w:val="13"/>
                <w:szCs w:val="13"/>
                <w:color w:val="auto"/>
              </w:rPr>
            </w:pPr>
          </w:p>
        </w:tc>
        <w:tc>
          <w:tcPr>
            <w:tcW w:w="660" w:type="dxa"/>
            <w:vAlign w:val="bottom"/>
            <w:tcBorders>
              <w:top w:val="single" w:sz="8" w:color="0E32E1"/>
            </w:tcBorders>
            <w:gridSpan w:val="2"/>
          </w:tcPr>
          <w:p>
            <w:pPr>
              <w:spacing w:after="0"/>
              <w:rPr>
                <w:sz w:val="13"/>
                <w:szCs w:val="13"/>
                <w:color w:val="auto"/>
              </w:rPr>
            </w:pPr>
          </w:p>
        </w:tc>
        <w:tc>
          <w:tcPr>
            <w:tcW w:w="1480" w:type="dxa"/>
            <w:vAlign w:val="bottom"/>
            <w:tcBorders>
              <w:top w:val="single" w:sz="8" w:color="0E32E1"/>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0E32E1"/>
            </w:tcBorders>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E32E1"/>
                <w:w w:val="90"/>
              </w:rPr>
              <w:t>Unaudited Condensed Consolidated Statements of Comprehensive Loss for the three and six months ended June 30, 2023</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Borders>
              <w:top w:val="single" w:sz="8" w:color="0E32E1"/>
            </w:tcBorders>
            <w:gridSpan w:val="6"/>
          </w:tcPr>
          <w:p>
            <w:pPr>
              <w:spacing w:after="0" w:line="156" w:lineRule="exact"/>
              <w:rPr>
                <w:sz w:val="20"/>
                <w:szCs w:val="20"/>
                <w:color w:val="auto"/>
              </w:rPr>
            </w:pPr>
            <w:r>
              <w:rPr>
                <w:rFonts w:ascii="Arial" w:cs="Arial" w:eastAsia="Arial" w:hAnsi="Arial"/>
                <w:sz w:val="18"/>
                <w:szCs w:val="18"/>
                <w:color w:val="0E32E1"/>
                <w:w w:val="84"/>
              </w:rPr>
              <w:t>and June 30, 2022</w:t>
            </w:r>
          </w:p>
        </w:tc>
        <w:tc>
          <w:tcPr>
            <w:tcW w:w="7440" w:type="dxa"/>
            <w:vAlign w:val="bottom"/>
            <w:tcBorders>
              <w:top w:val="single" w:sz="8" w:color="0E32E1"/>
            </w:tcBorders>
            <w:gridSpan w:val="15"/>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0E32E1"/>
            </w:tcBorders>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E32E1"/>
                <w:w w:val="90"/>
              </w:rPr>
              <w:t>Unaudited Condensed Consolidated Statements of Equity for the three and six months ended June 30, 2023 and June 30,</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top w:val="single" w:sz="8" w:color="0E32E1"/>
            </w:tcBorders>
          </w:tcPr>
          <w:p>
            <w:pPr>
              <w:spacing w:after="0" w:line="156" w:lineRule="exact"/>
              <w:rPr>
                <w:sz w:val="20"/>
                <w:szCs w:val="20"/>
                <w:color w:val="auto"/>
              </w:rPr>
            </w:pPr>
            <w:r>
              <w:rPr>
                <w:rFonts w:ascii="Arial" w:cs="Arial" w:eastAsia="Arial" w:hAnsi="Arial"/>
                <w:sz w:val="18"/>
                <w:szCs w:val="18"/>
                <w:color w:val="0E32E1"/>
                <w:w w:val="79"/>
              </w:rPr>
              <w:t>2022</w:t>
            </w:r>
          </w:p>
        </w:tc>
        <w:tc>
          <w:tcPr>
            <w:tcW w:w="240" w:type="dxa"/>
            <w:vAlign w:val="bottom"/>
            <w:tcBorders>
              <w:top w:val="single" w:sz="8" w:color="0E32E1"/>
            </w:tcBorders>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2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280" w:type="dxa"/>
            <w:vAlign w:val="bottom"/>
            <w:tcBorders>
              <w:top w:val="single" w:sz="8" w:color="0E32E1"/>
            </w:tcBorders>
          </w:tcPr>
          <w:p>
            <w:pPr>
              <w:spacing w:after="0"/>
              <w:rPr>
                <w:sz w:val="13"/>
                <w:szCs w:val="13"/>
                <w:color w:val="auto"/>
              </w:rPr>
            </w:pPr>
          </w:p>
        </w:tc>
        <w:tc>
          <w:tcPr>
            <w:tcW w:w="540" w:type="dxa"/>
            <w:vAlign w:val="bottom"/>
            <w:tcBorders>
              <w:top w:val="single" w:sz="8" w:color="0E32E1"/>
            </w:tcBorders>
          </w:tcPr>
          <w:p>
            <w:pPr>
              <w:spacing w:after="0"/>
              <w:rPr>
                <w:sz w:val="13"/>
                <w:szCs w:val="13"/>
                <w:color w:val="auto"/>
              </w:rPr>
            </w:pPr>
          </w:p>
        </w:tc>
        <w:tc>
          <w:tcPr>
            <w:tcW w:w="2000" w:type="dxa"/>
            <w:vAlign w:val="bottom"/>
            <w:tcBorders>
              <w:top w:val="single" w:sz="8" w:color="0E32E1"/>
            </w:tcBorders>
          </w:tcPr>
          <w:p>
            <w:pPr>
              <w:spacing w:after="0"/>
              <w:rPr>
                <w:sz w:val="13"/>
                <w:szCs w:val="13"/>
                <w:color w:val="auto"/>
              </w:rPr>
            </w:pPr>
          </w:p>
        </w:tc>
        <w:tc>
          <w:tcPr>
            <w:tcW w:w="48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180" w:type="dxa"/>
            <w:vAlign w:val="bottom"/>
            <w:tcBorders>
              <w:top w:val="single" w:sz="8" w:color="0E32E1"/>
            </w:tcBorders>
          </w:tcPr>
          <w:p>
            <w:pPr>
              <w:spacing w:after="0"/>
              <w:rPr>
                <w:sz w:val="13"/>
                <w:szCs w:val="13"/>
                <w:color w:val="auto"/>
              </w:rPr>
            </w:pPr>
          </w:p>
        </w:tc>
        <w:tc>
          <w:tcPr>
            <w:tcW w:w="56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1480" w:type="dxa"/>
            <w:vAlign w:val="bottom"/>
            <w:tcBorders>
              <w:top w:val="single" w:sz="8" w:color="0E32E1"/>
            </w:tcBorders>
          </w:tcPr>
          <w:p>
            <w:pPr>
              <w:spacing w:after="0"/>
              <w:rPr>
                <w:sz w:val="13"/>
                <w:szCs w:val="13"/>
                <w:color w:val="auto"/>
              </w:rPr>
            </w:pPr>
          </w:p>
        </w:tc>
        <w:tc>
          <w:tcPr>
            <w:tcW w:w="80" w:type="dxa"/>
            <w:vAlign w:val="bottom"/>
            <w:tcBorders>
              <w:top w:val="single" w:sz="8" w:color="0E32E1"/>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0E32E1"/>
            </w:tcBorders>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E32E1"/>
                <w:w w:val="90"/>
              </w:rPr>
              <w:t>Unaudited Condensed Consolidated Statements of Cash Flows for the six months ended June 30, 2023 and June 30, 2022</w:t>
            </w: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0E32E1"/>
            </w:tcBorders>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gridSpan w:val="3"/>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2000" w:type="dxa"/>
            <w:vAlign w:val="bottom"/>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1660" w:type="dxa"/>
            <w:vAlign w:val="bottom"/>
            <w:gridSpan w:val="3"/>
            <w:shd w:val="clear" w:color="auto" w:fill="0E32E1"/>
          </w:tcPr>
          <w:p>
            <w:pPr>
              <w:spacing w:after="0" w:line="20" w:lineRule="exact"/>
              <w:rPr>
                <w:sz w:val="1"/>
                <w:szCs w:val="1"/>
                <w:color w:val="auto"/>
              </w:rPr>
            </w:pPr>
          </w:p>
        </w:tc>
        <w:tc>
          <w:tcPr>
            <w:tcW w:w="660" w:type="dxa"/>
            <w:vAlign w:val="bottom"/>
            <w:gridSpan w:val="2"/>
            <w:shd w:val="clear" w:color="auto" w:fill="0E32E1"/>
          </w:tcPr>
          <w:p>
            <w:pPr>
              <w:spacing w:after="0" w:line="20" w:lineRule="exact"/>
              <w:rPr>
                <w:sz w:val="1"/>
                <w:szCs w:val="1"/>
                <w:color w:val="auto"/>
              </w:rPr>
            </w:pPr>
          </w:p>
        </w:tc>
        <w:tc>
          <w:tcPr>
            <w:tcW w:w="1620" w:type="dxa"/>
            <w:vAlign w:val="bottom"/>
            <w:gridSpan w:val="3"/>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80" w:type="dxa"/>
            <w:vAlign w:val="bottom"/>
            <w:gridSpan w:val="12"/>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3940" w:type="dxa"/>
            <w:vAlign w:val="bottom"/>
            <w:gridSpan w:val="8"/>
          </w:tcPr>
          <w:p>
            <w:pPr>
              <w:spacing w:after="0"/>
              <w:rPr>
                <w:sz w:val="24"/>
                <w:szCs w:val="24"/>
                <w:color w:val="auto"/>
              </w:rPr>
            </w:pPr>
          </w:p>
        </w:tc>
        <w:tc>
          <w:tcPr>
            <w:tcW w:w="140" w:type="dxa"/>
            <w:vAlign w:val="bottom"/>
            <w:gridSpan w:val="2"/>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36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36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36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00" w:type="dxa"/>
            <w:vAlign w:val="bottom"/>
            <w:gridSpan w:val="26"/>
          </w:tcPr>
          <w:p>
            <w:pPr>
              <w:spacing w:after="0"/>
              <w:rPr>
                <w:sz w:val="20"/>
                <w:szCs w:val="20"/>
                <w:color w:val="auto"/>
              </w:rPr>
            </w:pPr>
            <w:r>
              <w:rPr>
                <w:rFonts w:ascii="Arial" w:cs="Arial" w:eastAsia="Arial" w:hAnsi="Arial"/>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82"/>
              </w:rPr>
              <w:t>ITEM 1.</w:t>
            </w:r>
          </w:p>
        </w:tc>
        <w:tc>
          <w:tcPr>
            <w:tcW w:w="580" w:type="dxa"/>
            <w:vAlign w:val="bottom"/>
            <w:gridSpan w:val="2"/>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886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82"/>
              </w:rPr>
              <w:t>ITEM 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4800" w:type="dxa"/>
            <w:vAlign w:val="bottom"/>
            <w:gridSpan w:val="7"/>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82"/>
              </w:rPr>
              <w:t>ITEM 3.</w:t>
            </w:r>
          </w:p>
        </w:tc>
        <w:tc>
          <w:tcPr>
            <w:tcW w:w="580" w:type="dxa"/>
            <w:vAlign w:val="bottom"/>
            <w:gridSpan w:val="2"/>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Defaults Upon Senior Securities</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56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82"/>
              </w:rPr>
              <w:t>ITEM 4.</w:t>
            </w:r>
          </w:p>
        </w:tc>
        <w:tc>
          <w:tcPr>
            <w:tcW w:w="580" w:type="dxa"/>
            <w:vAlign w:val="bottom"/>
            <w:gridSpan w:val="2"/>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710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82"/>
              </w:rPr>
              <w:t>ITEM 5.</w:t>
            </w:r>
          </w:p>
        </w:tc>
        <w:tc>
          <w:tcPr>
            <w:tcW w:w="580" w:type="dxa"/>
            <w:vAlign w:val="bottom"/>
            <w:gridSpan w:val="2"/>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5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82"/>
              </w:rPr>
              <w:t>ITEM 6.</w:t>
            </w:r>
          </w:p>
        </w:tc>
        <w:tc>
          <w:tcPr>
            <w:tcW w:w="580" w:type="dxa"/>
            <w:vAlign w:val="bottom"/>
            <w:gridSpan w:val="2"/>
          </w:tcPr>
          <w:p>
            <w:pPr>
              <w:spacing w:after="0"/>
              <w:rPr>
                <w:sz w:val="24"/>
                <w:szCs w:val="24"/>
                <w:color w:val="auto"/>
              </w:rPr>
            </w:pPr>
          </w:p>
        </w:tc>
        <w:tc>
          <w:tcPr>
            <w:tcW w:w="8860" w:type="dxa"/>
            <w:vAlign w:val="bottom"/>
            <w:gridSpan w:val="22"/>
          </w:tcPr>
          <w:p>
            <w:pPr>
              <w:spacing w:after="0"/>
              <w:rPr>
                <w:sz w:val="20"/>
                <w:szCs w:val="20"/>
                <w:color w:val="auto"/>
              </w:rPr>
            </w:pPr>
            <w:r>
              <w:rPr>
                <w:rFonts w:ascii="Arial" w:cs="Arial" w:eastAsia="Arial" w:hAnsi="Arial"/>
                <w:sz w:val="18"/>
                <w:szCs w:val="18"/>
                <w:color w:val="0000FF"/>
              </w:rPr>
              <w:t>Exhibits</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7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71"/>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17,999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20,488</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123,657</w:t>
            </w:r>
          </w:p>
        </w:tc>
        <w:tc>
          <w:tcPr>
            <w:tcW w:w="0" w:type="dxa"/>
            <w:vAlign w:val="bottom"/>
          </w:tcPr>
          <w:p>
            <w:pPr>
              <w:spacing w:after="0"/>
              <w:rPr>
                <w:sz w:val="1"/>
                <w:szCs w:val="1"/>
                <w:color w:val="auto"/>
              </w:rPr>
            </w:pPr>
          </w:p>
        </w:tc>
      </w:tr>
      <w:tr>
        <w:trPr>
          <w:trHeight w:val="237"/>
        </w:trPr>
        <w:tc>
          <w:tcPr>
            <w:tcW w:w="78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13,556</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w:t>
            </w:r>
          </w:p>
        </w:tc>
        <w:tc>
          <w:tcPr>
            <w:tcW w:w="0" w:type="dxa"/>
            <w:vAlign w:val="bottom"/>
          </w:tcPr>
          <w:p>
            <w:pPr>
              <w:spacing w:after="0"/>
              <w:rPr>
                <w:sz w:val="1"/>
                <w:szCs w:val="1"/>
                <w:color w:val="auto"/>
              </w:rPr>
            </w:pPr>
          </w:p>
        </w:tc>
      </w:tr>
      <w:tr>
        <w:trPr>
          <w:trHeight w:val="223"/>
        </w:trPr>
        <w:tc>
          <w:tcPr>
            <w:tcW w:w="78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167,882</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77,561</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49,015</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199,635</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40,032</w:t>
            </w:r>
          </w:p>
        </w:tc>
        <w:tc>
          <w:tcPr>
            <w:tcW w:w="0" w:type="dxa"/>
            <w:vAlign w:val="bottom"/>
          </w:tcPr>
          <w:p>
            <w:pPr>
              <w:spacing w:after="0"/>
              <w:rPr>
                <w:sz w:val="1"/>
                <w:szCs w:val="1"/>
                <w:color w:val="auto"/>
              </w:rPr>
            </w:pPr>
          </w:p>
        </w:tc>
      </w:tr>
      <w:tr>
        <w:trPr>
          <w:trHeight w:val="223"/>
        </w:trPr>
        <w:tc>
          <w:tcPr>
            <w:tcW w:w="78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540,946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534,904</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0" w:type="dxa"/>
            <w:vAlign w:val="bottom"/>
          </w:tcPr>
          <w:p>
            <w:pPr>
              <w:spacing w:after="0"/>
              <w:rPr>
                <w:sz w:val="1"/>
                <w:szCs w:val="1"/>
                <w:color w:val="auto"/>
              </w:rPr>
            </w:pPr>
          </w:p>
        </w:tc>
      </w:tr>
      <w:tr>
        <w:trPr>
          <w:trHeight w:val="237"/>
        </w:trPr>
        <w:tc>
          <w:tcPr>
            <w:tcW w:w="788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78,972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77,844</w:t>
            </w:r>
          </w:p>
        </w:tc>
        <w:tc>
          <w:tcPr>
            <w:tcW w:w="0" w:type="dxa"/>
            <w:vAlign w:val="bottom"/>
          </w:tcPr>
          <w:p>
            <w:pPr>
              <w:spacing w:after="0"/>
              <w:rPr>
                <w:sz w:val="1"/>
                <w:szCs w:val="1"/>
                <w:color w:val="auto"/>
              </w:rPr>
            </w:pPr>
          </w:p>
        </w:tc>
      </w:tr>
      <w:tr>
        <w:trPr>
          <w:trHeight w:val="236"/>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Current portion of finance lease obligations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23"/>
        </w:trPr>
        <w:tc>
          <w:tcPr>
            <w:tcW w:w="78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103,728</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183,826</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Obligations under finance leases, net of current portion</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3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32,273</w:t>
            </w:r>
          </w:p>
        </w:tc>
        <w:tc>
          <w:tcPr>
            <w:tcW w:w="0" w:type="dxa"/>
            <w:vAlign w:val="bottom"/>
          </w:tcPr>
          <w:p>
            <w:pPr>
              <w:spacing w:after="0"/>
              <w:rPr>
                <w:sz w:val="1"/>
                <w:szCs w:val="1"/>
                <w:color w:val="auto"/>
              </w:rPr>
            </w:pPr>
          </w:p>
        </w:tc>
      </w:tr>
      <w:tr>
        <w:trPr>
          <w:trHeight w:val="237"/>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336,155</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140"/>
              <w:spacing w:after="0"/>
              <w:rPr>
                <w:sz w:val="20"/>
                <w:szCs w:val="20"/>
                <w:color w:val="auto"/>
              </w:rPr>
            </w:pPr>
            <w:r>
              <w:rPr>
                <w:rFonts w:ascii="Arial" w:cs="Arial" w:eastAsia="Arial" w:hAnsi="Arial"/>
                <w:sz w:val="18"/>
                <w:szCs w:val="18"/>
                <w:color w:val="auto"/>
              </w:rPr>
              <w:t>Preferred stock, 10,000,000 shares authorized</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788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w w:val="89"/>
              </w:rPr>
              <w:t>Common stock, $0.01 par value, 200,000,000 shares authorized, 30,301,985 and 29,895,487 shares issued</w:t>
            </w: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w:t>
            </w:r>
          </w:p>
        </w:tc>
        <w:tc>
          <w:tcPr>
            <w:tcW w:w="2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245,058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243,031</w:t>
            </w:r>
          </w:p>
        </w:tc>
        <w:tc>
          <w:tcPr>
            <w:tcW w:w="0" w:type="dxa"/>
            <w:vAlign w:val="bottom"/>
          </w:tcPr>
          <w:p>
            <w:pPr>
              <w:spacing w:after="0"/>
              <w:rPr>
                <w:sz w:val="1"/>
                <w:szCs w:val="1"/>
                <w:color w:val="auto"/>
              </w:rPr>
            </w:pPr>
          </w:p>
        </w:tc>
      </w:tr>
      <w:tr>
        <w:trPr>
          <w:trHeight w:val="236"/>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(33,390)</w:t>
            </w:r>
          </w:p>
        </w:tc>
        <w:tc>
          <w:tcPr>
            <w:tcW w:w="0" w:type="dxa"/>
            <w:vAlign w:val="bottom"/>
          </w:tcPr>
          <w:p>
            <w:pPr>
              <w:spacing w:after="0"/>
              <w:rPr>
                <w:sz w:val="1"/>
                <w:szCs w:val="1"/>
                <w:color w:val="auto"/>
              </w:rPr>
            </w:pPr>
          </w:p>
        </w:tc>
      </w:tr>
      <w:tr>
        <w:trPr>
          <w:trHeight w:val="237"/>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Mistras Group, Inc. stockholders’ equity</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198,450</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198,749</w:t>
            </w:r>
          </w:p>
        </w:tc>
        <w:tc>
          <w:tcPr>
            <w:tcW w:w="0" w:type="dxa"/>
            <w:vAlign w:val="bottom"/>
          </w:tcPr>
          <w:p>
            <w:pPr>
              <w:spacing w:after="0"/>
              <w:rPr>
                <w:sz w:val="1"/>
                <w:szCs w:val="1"/>
                <w:color w:val="auto"/>
              </w:rPr>
            </w:pPr>
          </w:p>
        </w:tc>
      </w:tr>
      <w:tr>
        <w:trPr>
          <w:trHeight w:val="237"/>
        </w:trPr>
        <w:tc>
          <w:tcPr>
            <w:tcW w:w="788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540,946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534,904</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76"/>
        </w:trPr>
        <w:tc>
          <w:tcPr>
            <w:tcW w:w="4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176,030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179,031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344,046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340,693</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119,980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236,493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235,738</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93,450</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82,777</w:t>
            </w:r>
          </w:p>
        </w:tc>
        <w:tc>
          <w:tcPr>
            <w:tcW w:w="0" w:type="dxa"/>
            <w:vAlign w:val="bottom"/>
          </w:tcPr>
          <w:p>
            <w:pPr>
              <w:spacing w:after="0"/>
              <w:rPr>
                <w:sz w:val="1"/>
                <w:szCs w:val="1"/>
                <w:color w:val="auto"/>
              </w:rPr>
            </w:pPr>
          </w:p>
        </w:tc>
      </w:tr>
      <w:tr>
        <w:trPr>
          <w:trHeight w:val="237"/>
        </w:trPr>
        <w:tc>
          <w:tcPr>
            <w:tcW w:w="4560" w:type="dxa"/>
            <w:vAlign w:val="bottom"/>
          </w:tcPr>
          <w:p>
            <w:pPr>
              <w:ind w:left="140"/>
              <w:spacing w:after="0"/>
              <w:rPr>
                <w:sz w:val="20"/>
                <w:szCs w:val="20"/>
                <w:color w:val="auto"/>
              </w:rPr>
            </w:pPr>
            <w:r>
              <w:rPr>
                <w:rFonts w:ascii="Arial" w:cs="Arial" w:eastAsia="Arial" w:hAnsi="Arial"/>
                <w:sz w:val="18"/>
                <w:szCs w:val="18"/>
                <w:color w:val="auto"/>
                <w:w w:val="92"/>
              </w:rPr>
              <w:t>Bad debt provision for troubled customers, net of recoveries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engineering</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(benefit) for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Less: net income attributable to noncontrolling interests, net</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337</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4,643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(4,649)</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45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0.15</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(0.15)</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6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1"/>
        </w:trPr>
        <w:tc>
          <w:tcPr>
            <w:tcW w:w="4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r>
      <w:tr>
        <w:trPr>
          <w:trHeight w:val="211"/>
        </w:trPr>
        <w:tc>
          <w:tcPr>
            <w:tcW w:w="45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29"/>
        </w:trPr>
        <w:tc>
          <w:tcPr>
            <w:tcW w:w="45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(8,531)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w:t>
            </w:r>
          </w:p>
        </w:tc>
      </w:tr>
      <w:tr>
        <w:trPr>
          <w:trHeight w:val="223"/>
        </w:trPr>
        <w:tc>
          <w:tcPr>
            <w:tcW w:w="45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(3,865)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(8,663)</w:t>
            </w:r>
          </w:p>
        </w:tc>
      </w:tr>
      <w:tr>
        <w:trPr>
          <w:trHeight w:val="230"/>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4540" w:type="dxa"/>
            <w:vAlign w:val="bottom"/>
          </w:tcPr>
          <w:p>
            <w:pPr>
              <w:ind w:left="40"/>
              <w:spacing w:after="0"/>
              <w:rPr>
                <w:sz w:val="20"/>
                <w:szCs w:val="20"/>
                <w:color w:val="auto"/>
              </w:rPr>
            </w:pPr>
            <w:r>
              <w:rPr>
                <w:rFonts w:ascii="Arial" w:cs="Arial" w:eastAsia="Arial" w:hAnsi="Arial"/>
                <w:sz w:val="18"/>
                <w:szCs w:val="18"/>
                <w:color w:val="auto"/>
              </w:rPr>
              <w:t>Comprehensive loss attributable to Mistras Group, Inc</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w:t>
            </w:r>
          </w:p>
        </w:tc>
      </w:tr>
      <w:tr>
        <w:trPr>
          <w:trHeight w:val="20"/>
        </w:trPr>
        <w:tc>
          <w:tcPr>
            <w:tcW w:w="454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Condensed Consolidated Statements of Equity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7"/>
              </w:rPr>
              <w:t>Three months ended</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405"/>
        </w:trPr>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58"/>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78"/>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2"/>
        </w:trPr>
        <w:tc>
          <w:tcPr>
            <w:tcW w:w="2100" w:type="dxa"/>
            <w:vAlign w:val="bottom"/>
          </w:tcPr>
          <w:p>
            <w:pPr>
              <w:spacing w:after="0"/>
              <w:rPr>
                <w:sz w:val="14"/>
                <w:szCs w:val="14"/>
                <w:color w:val="auto"/>
              </w:rPr>
            </w:pPr>
          </w:p>
        </w:tc>
        <w:tc>
          <w:tcPr>
            <w:tcW w:w="1740" w:type="dxa"/>
            <w:vAlign w:val="bottom"/>
            <w:gridSpan w:val="4"/>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8"/>
              <w:spacing w:after="0"/>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8"/>
              <w:spacing w:after="0"/>
              <w:rPr>
                <w:sz w:val="20"/>
                <w:szCs w:val="20"/>
                <w:color w:val="auto"/>
              </w:rPr>
            </w:pPr>
            <w:r>
              <w:rPr>
                <w:rFonts w:ascii="Arial" w:cs="Arial" w:eastAsia="Arial" w:hAnsi="Arial"/>
                <w:sz w:val="13"/>
                <w:szCs w:val="13"/>
                <w:b w:val="1"/>
                <w:bCs w:val="1"/>
                <w:color w:val="auto"/>
                <w:w w:val="89"/>
              </w:rPr>
              <w:t>Mistras Group,</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70"/>
        </w:trPr>
        <w:tc>
          <w:tcPr>
            <w:tcW w:w="210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jc w:val="right"/>
              <w:ind w:right="79"/>
              <w:spacing w:after="0" w:line="70" w:lineRule="exact"/>
              <w:rPr>
                <w:sz w:val="20"/>
                <w:szCs w:val="20"/>
                <w:color w:val="auto"/>
              </w:rPr>
            </w:pPr>
            <w:r>
              <w:rPr>
                <w:rFonts w:ascii="Arial" w:cs="Arial" w:eastAsia="Arial" w:hAnsi="Arial"/>
                <w:sz w:val="8"/>
                <w:szCs w:val="8"/>
                <w:b w:val="1"/>
                <w:bCs w:val="1"/>
                <w:color w:val="auto"/>
              </w:rPr>
              <w:t>Additional</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jc w:val="center"/>
              <w:ind w:right="58"/>
              <w:spacing w:after="0" w:line="70" w:lineRule="exact"/>
              <w:rPr>
                <w:sz w:val="20"/>
                <w:szCs w:val="20"/>
                <w:color w:val="auto"/>
              </w:rPr>
            </w:pPr>
            <w:r>
              <w:rPr>
                <w:rFonts w:ascii="Arial" w:cs="Arial" w:eastAsia="Arial" w:hAnsi="Arial"/>
                <w:sz w:val="8"/>
                <w:szCs w:val="8"/>
                <w:b w:val="1"/>
                <w:bCs w:val="1"/>
                <w:color w:val="auto"/>
              </w:rPr>
              <w:t>earnings</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jc w:val="center"/>
              <w:ind w:right="58"/>
              <w:spacing w:after="0" w:line="70"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jc w:val="center"/>
              <w:ind w:right="78"/>
              <w:spacing w:after="0" w:line="70" w:lineRule="exact"/>
              <w:rPr>
                <w:sz w:val="20"/>
                <w:szCs w:val="20"/>
                <w:color w:val="auto"/>
              </w:rPr>
            </w:pPr>
            <w:r>
              <w:rPr>
                <w:rFonts w:ascii="Arial" w:cs="Arial" w:eastAsia="Arial" w:hAnsi="Arial"/>
                <w:sz w:val="8"/>
                <w:szCs w:val="8"/>
                <w:b w:val="1"/>
                <w:bCs w:val="1"/>
                <w:color w:val="auto"/>
              </w:rPr>
              <w:t>Inc.</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jc w:val="right"/>
              <w:ind w:right="99"/>
              <w:spacing w:after="0" w:line="70" w:lineRule="exact"/>
              <w:rPr>
                <w:sz w:val="20"/>
                <w:szCs w:val="20"/>
                <w:color w:val="auto"/>
              </w:rPr>
            </w:pPr>
            <w:r>
              <w:rPr>
                <w:rFonts w:ascii="Arial" w:cs="Arial" w:eastAsia="Arial" w:hAnsi="Arial"/>
                <w:sz w:val="8"/>
                <w:szCs w:val="8"/>
                <w:b w:val="1"/>
                <w:bCs w:val="1"/>
                <w:color w:val="auto"/>
              </w:rPr>
              <w:t>Noncontrolling</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174"/>
        </w:trPr>
        <w:tc>
          <w:tcPr>
            <w:tcW w:w="2100" w:type="dxa"/>
            <w:vAlign w:val="bottom"/>
          </w:tcPr>
          <w:p>
            <w:pPr>
              <w:spacing w:after="0"/>
              <w:rPr>
                <w:sz w:val="15"/>
                <w:szCs w:val="15"/>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1"/>
              </w:rPr>
              <w:t>paid-in 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89"/>
              </w:rPr>
              <w:t>(deficit)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Stockholders’ Equity</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6"/>
              </w:rPr>
              <w:t>Total Equity</w:t>
            </w:r>
          </w:p>
        </w:tc>
      </w:tr>
      <w:tr>
        <w:trPr>
          <w:trHeight w:val="257"/>
        </w:trPr>
        <w:tc>
          <w:tcPr>
            <w:tcW w:w="2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69"/>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30,230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244,131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(16,475)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(32,117)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195,841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196,148</w:t>
            </w:r>
          </w:p>
        </w:tc>
      </w:tr>
      <w:tr>
        <w:trPr>
          <w:trHeight w:val="229"/>
        </w:trPr>
        <w:tc>
          <w:tcPr>
            <w:tcW w:w="21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376</w:t>
            </w:r>
          </w:p>
        </w:tc>
      </w:tr>
      <w:tr>
        <w:trPr>
          <w:trHeight w:val="176"/>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Other comprehensive loss, net of tax</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3,082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3,082</w:t>
            </w:r>
          </w:p>
        </w:tc>
      </w:tr>
      <w:tr>
        <w:trPr>
          <w:trHeight w:val="160"/>
        </w:trPr>
        <w:tc>
          <w:tcPr>
            <w:tcW w:w="210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1,091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1,091</w:t>
            </w:r>
          </w:p>
        </w:tc>
      </w:tr>
      <w:tr>
        <w:trPr>
          <w:trHeight w:val="29"/>
        </w:trPr>
        <w:tc>
          <w:tcPr>
            <w:tcW w:w="2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5"/>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Net settlement of restricted stock units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69"/>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30,302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245,058</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(16,138)</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(29,035)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200,187</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200,533</w:t>
            </w: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2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70"/>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820" w:type="dxa"/>
            <w:vAlign w:val="bottom"/>
          </w:tcPr>
          <w:p>
            <w:pPr>
              <w:jc w:val="right"/>
              <w:spacing w:after="0"/>
              <w:rPr>
                <w:sz w:val="20"/>
                <w:szCs w:val="20"/>
                <w:color w:val="auto"/>
              </w:rPr>
            </w:pPr>
            <w:r>
              <w:rPr>
                <w:rFonts w:ascii="Arial" w:cs="Arial" w:eastAsia="Arial" w:hAnsi="Arial"/>
                <w:sz w:val="13"/>
                <w:szCs w:val="13"/>
                <w:color w:val="auto"/>
              </w:rPr>
              <w:t>29,720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297</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239,656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(23,351)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(19,756)</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196,846</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239</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197,085</w:t>
            </w:r>
          </w:p>
        </w:tc>
      </w:tr>
      <w:tr>
        <w:trPr>
          <w:trHeight w:val="175"/>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4,643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4,643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4,666</w:t>
            </w:r>
          </w:p>
        </w:tc>
      </w:tr>
      <w:tr>
        <w:trPr>
          <w:trHeight w:val="168"/>
        </w:trPr>
        <w:tc>
          <w:tcPr>
            <w:tcW w:w="2100" w:type="dxa"/>
            <w:vAlign w:val="bottom"/>
          </w:tcPr>
          <w:p>
            <w:pPr>
              <w:ind w:left="20"/>
              <w:spacing w:after="0"/>
              <w:rPr>
                <w:sz w:val="20"/>
                <w:szCs w:val="20"/>
                <w:color w:val="auto"/>
              </w:rPr>
            </w:pPr>
            <w:r>
              <w:rPr>
                <w:rFonts w:ascii="Arial" w:cs="Arial" w:eastAsia="Arial" w:hAnsi="Arial"/>
                <w:sz w:val="13"/>
                <w:szCs w:val="13"/>
                <w:color w:val="auto"/>
                <w:w w:val="89"/>
              </w:rPr>
              <w:t>Other comprehensive income, net of tax</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(8,531)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(8,531)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(8,531)</w:t>
            </w:r>
          </w:p>
        </w:tc>
      </w:tr>
      <w:tr>
        <w:trPr>
          <w:trHeight w:val="183"/>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payments</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1,255</w:t>
            </w:r>
          </w:p>
        </w:tc>
      </w:tr>
      <w:tr>
        <w:trPr>
          <w:trHeight w:val="169"/>
        </w:trPr>
        <w:tc>
          <w:tcPr>
            <w:tcW w:w="2100" w:type="dxa"/>
            <w:vAlign w:val="bottom"/>
          </w:tcPr>
          <w:p>
            <w:pPr>
              <w:ind w:left="20"/>
              <w:spacing w:after="0"/>
              <w:rPr>
                <w:sz w:val="20"/>
                <w:szCs w:val="20"/>
                <w:color w:val="auto"/>
              </w:rPr>
            </w:pPr>
            <w:r>
              <w:rPr>
                <w:rFonts w:ascii="Arial" w:cs="Arial" w:eastAsia="Arial" w:hAnsi="Arial"/>
                <w:sz w:val="13"/>
                <w:szCs w:val="13"/>
                <w:color w:val="auto"/>
                <w:w w:val="93"/>
              </w:rPr>
              <w:t>Net settlement of restricted stock units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r>
      <w:tr>
        <w:trPr>
          <w:trHeight w:val="195"/>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240,697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193,999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194,261</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20" w:type="dxa"/>
        <w:tblCellMar>
          <w:top w:w="0" w:type="dxa"/>
          <w:left w:w="0" w:type="dxa"/>
          <w:bottom w:w="0" w:type="dxa"/>
          <w:right w:w="0" w:type="dxa"/>
        </w:tblCellMar>
      </w:tblPr>
      <w:tr>
        <w:trPr>
          <w:trHeight w:val="164"/>
        </w:trPr>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w w:val="87"/>
              </w:rPr>
              <w:t>Six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58"/>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right="78"/>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740" w:type="dxa"/>
            <w:vAlign w:val="bottom"/>
            <w:gridSpan w:val="4"/>
          </w:tcPr>
          <w:p>
            <w:pPr>
              <w:jc w:val="right"/>
              <w:ind w:right="39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78"/>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8"/>
              <w:spacing w:after="0"/>
              <w:rPr>
                <w:sz w:val="20"/>
                <w:szCs w:val="20"/>
                <w:color w:val="auto"/>
              </w:rPr>
            </w:pPr>
            <w:r>
              <w:rPr>
                <w:rFonts w:ascii="Arial" w:cs="Arial" w:eastAsia="Arial" w:hAnsi="Arial"/>
                <w:sz w:val="13"/>
                <w:szCs w:val="13"/>
                <w:b w:val="1"/>
                <w:bCs w:val="1"/>
                <w:color w:val="auto"/>
                <w:w w:val="86"/>
              </w:rPr>
              <w:t>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78"/>
              <w:spacing w:after="0"/>
              <w:rPr>
                <w:sz w:val="20"/>
                <w:szCs w:val="20"/>
                <w:color w:val="auto"/>
              </w:rPr>
            </w:pPr>
            <w:r>
              <w:rPr>
                <w:rFonts w:ascii="Arial" w:cs="Arial" w:eastAsia="Arial" w:hAnsi="Arial"/>
                <w:sz w:val="13"/>
                <w:szCs w:val="13"/>
                <w:b w:val="1"/>
                <w:bCs w:val="1"/>
                <w:color w:val="auto"/>
                <w:w w:val="91"/>
              </w:rPr>
              <w:t>Mistras Group,</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right"/>
              <w:ind w:right="58"/>
              <w:spacing w:after="0" w:line="95"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restart"/>
          </w:tcPr>
          <w:p>
            <w:pPr>
              <w:jc w:val="center"/>
              <w:ind w:right="58"/>
              <w:spacing w:after="0" w:line="95"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ind w:right="58"/>
              <w:spacing w:after="0" w:line="95" w:lineRule="exact"/>
              <w:rPr>
                <w:sz w:val="20"/>
                <w:szCs w:val="20"/>
                <w:color w:val="auto"/>
              </w:rPr>
            </w:pPr>
            <w:r>
              <w:rPr>
                <w:rFonts w:ascii="Arial" w:cs="Arial" w:eastAsia="Arial" w:hAnsi="Arial"/>
                <w:sz w:val="10"/>
                <w:szCs w:val="10"/>
                <w:b w:val="1"/>
                <w:bCs w:val="1"/>
                <w:color w:val="auto"/>
              </w:rPr>
              <w:t>comprehensive</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restart"/>
          </w:tcPr>
          <w:p>
            <w:pPr>
              <w:jc w:val="center"/>
              <w:ind w:right="78"/>
              <w:spacing w:after="0" w:line="95" w:lineRule="exact"/>
              <w:rPr>
                <w:sz w:val="20"/>
                <w:szCs w:val="20"/>
                <w:color w:val="auto"/>
              </w:rPr>
            </w:pPr>
            <w:r>
              <w:rPr>
                <w:rFonts w:ascii="Arial" w:cs="Arial" w:eastAsia="Arial" w:hAnsi="Arial"/>
                <w:sz w:val="10"/>
                <w:szCs w:val="10"/>
                <w:b w:val="1"/>
                <w:bCs w:val="1"/>
                <w:color w:val="auto"/>
              </w:rPr>
              <w:t>Inc.</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right"/>
              <w:ind w:right="98"/>
              <w:spacing w:after="0" w:line="95" w:lineRule="exact"/>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8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line="20" w:lineRule="exact"/>
              <w:rPr>
                <w:sz w:val="1"/>
                <w:szCs w:val="1"/>
                <w:color w:val="auto"/>
              </w:rPr>
            </w:pPr>
          </w:p>
        </w:tc>
      </w:tr>
      <w:tr>
        <w:trPr>
          <w:trHeight w:val="170"/>
        </w:trPr>
        <w:tc>
          <w:tcPr>
            <w:tcW w:w="21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9"/>
              </w:rPr>
              <w:t>paid-in capital</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89"/>
              </w:rPr>
              <w:t>(deficit)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3"/>
              </w:rPr>
              <w:t>income (loss)</w:t>
            </w:r>
          </w:p>
        </w:tc>
        <w:tc>
          <w:tcPr>
            <w:tcW w:w="180" w:type="dxa"/>
            <w:vAlign w:val="bottom"/>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Stockholders’ Equity</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2022</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243,031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198,450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299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198,749</w:t>
            </w:r>
          </w:p>
        </w:tc>
        <w:tc>
          <w:tcPr>
            <w:tcW w:w="0" w:type="dxa"/>
            <w:vAlign w:val="bottom"/>
          </w:tcPr>
          <w:p>
            <w:pPr>
              <w:spacing w:after="0"/>
              <w:rPr>
                <w:sz w:val="1"/>
                <w:szCs w:val="1"/>
                <w:color w:val="auto"/>
              </w:rPr>
            </w:pPr>
          </w:p>
        </w:tc>
      </w:tr>
      <w:tr>
        <w:trPr>
          <w:trHeight w:val="160"/>
        </w:trPr>
        <w:tc>
          <w:tcPr>
            <w:tcW w:w="2100" w:type="dxa"/>
            <w:vAlign w:val="bottom"/>
          </w:tcPr>
          <w:p>
            <w:pPr>
              <w:spacing w:after="0"/>
              <w:rPr>
                <w:sz w:val="20"/>
                <w:szCs w:val="20"/>
                <w:color w:val="auto"/>
              </w:rPr>
            </w:pPr>
            <w:r>
              <w:rPr>
                <w:rFonts w:ascii="Arial" w:cs="Arial" w:eastAsia="Arial" w:hAnsi="Arial"/>
                <w:sz w:val="13"/>
                <w:szCs w:val="13"/>
                <w:color w:val="auto"/>
              </w:rPr>
              <w:t>Net income (loss)</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18"/>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(4,602)</w:t>
            </w: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w w:val="98"/>
              </w:rPr>
              <w:t>Other comprehensive loss,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4,355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4,355</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8"/>
              <w:spacing w:after="0"/>
              <w:rPr>
                <w:sz w:val="20"/>
                <w:szCs w:val="20"/>
                <w:color w:val="auto"/>
              </w:rPr>
            </w:pPr>
            <w:r>
              <w:rPr>
                <w:rFonts w:ascii="Arial" w:cs="Arial" w:eastAsia="Arial" w:hAnsi="Arial"/>
                <w:sz w:val="13"/>
                <w:szCs w:val="13"/>
                <w:color w:val="auto"/>
              </w:rPr>
              <w:t>2,968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2,968</w:t>
            </w:r>
          </w:p>
        </w:tc>
        <w:tc>
          <w:tcPr>
            <w:tcW w:w="0" w:type="dxa"/>
            <w:vAlign w:val="bottom"/>
          </w:tcPr>
          <w:p>
            <w:pPr>
              <w:spacing w:after="0"/>
              <w:rPr>
                <w:sz w:val="1"/>
                <w:szCs w:val="1"/>
                <w:color w:val="auto"/>
              </w:rPr>
            </w:pPr>
          </w:p>
        </w:tc>
      </w:tr>
      <w:tr>
        <w:trPr>
          <w:trHeight w:val="177"/>
        </w:trPr>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94"/>
              </w:rPr>
              <w:t>Net settlement of restricted stock units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Arial" w:cs="Arial" w:eastAsia="Arial" w:hAnsi="Arial"/>
                <w:sz w:val="13"/>
                <w:szCs w:val="13"/>
                <w:b w:val="1"/>
                <w:bCs w:val="1"/>
                <w:color w:val="auto"/>
              </w:rPr>
              <w:t>Balance at June 30, 2023</w:t>
            </w:r>
          </w:p>
        </w:tc>
        <w:tc>
          <w:tcPr>
            <w:tcW w:w="800" w:type="dxa"/>
            <w:vAlign w:val="bottom"/>
          </w:tcPr>
          <w:p>
            <w:pPr>
              <w:jc w:val="right"/>
              <w:spacing w:after="0"/>
              <w:rPr>
                <w:sz w:val="20"/>
                <w:szCs w:val="20"/>
                <w:color w:val="auto"/>
              </w:rPr>
            </w:pPr>
            <w:r>
              <w:rPr>
                <w:rFonts w:ascii="Arial" w:cs="Arial" w:eastAsia="Arial" w:hAnsi="Arial"/>
                <w:sz w:val="13"/>
                <w:szCs w:val="13"/>
                <w:color w:val="auto"/>
              </w:rPr>
              <w:t>30,302</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302</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245,058</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(16,138)</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(29,035)</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8"/>
              <w:spacing w:after="0"/>
              <w:rPr>
                <w:sz w:val="20"/>
                <w:szCs w:val="20"/>
                <w:color w:val="auto"/>
              </w:rPr>
            </w:pPr>
            <w:r>
              <w:rPr>
                <w:rFonts w:ascii="Arial" w:cs="Arial" w:eastAsia="Arial" w:hAnsi="Arial"/>
                <w:sz w:val="13"/>
                <w:szCs w:val="13"/>
                <w:color w:val="auto"/>
              </w:rPr>
              <w:t>200,187</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8"/>
              <w:spacing w:after="0"/>
              <w:rPr>
                <w:sz w:val="20"/>
                <w:szCs w:val="20"/>
                <w:color w:val="auto"/>
              </w:rPr>
            </w:pPr>
            <w:r>
              <w:rPr>
                <w:rFonts w:ascii="Arial" w:cs="Arial" w:eastAsia="Arial" w:hAnsi="Arial"/>
                <w:sz w:val="13"/>
                <w:szCs w:val="13"/>
                <w:color w:val="auto"/>
              </w:rPr>
              <w:t>346</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200,533</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100" w:type="dxa"/>
            <w:vAlign w:val="bottom"/>
          </w:tcPr>
          <w:p>
            <w:pPr>
              <w:spacing w:after="0"/>
              <w:rPr>
                <w:sz w:val="20"/>
                <w:szCs w:val="20"/>
                <w:color w:val="auto"/>
              </w:rPr>
            </w:pPr>
            <w:r>
              <w:rPr>
                <w:rFonts w:ascii="Arial" w:cs="Arial" w:eastAsia="Arial" w:hAnsi="Arial"/>
                <w:sz w:val="13"/>
                <w:szCs w:val="13"/>
                <w:b w:val="1"/>
                <w:bCs w:val="1"/>
                <w:color w:val="auto"/>
              </w:rPr>
              <w:t>Balance at December 31, 2021</w:t>
            </w:r>
          </w:p>
        </w:tc>
        <w:tc>
          <w:tcPr>
            <w:tcW w:w="800" w:type="dxa"/>
            <w:vAlign w:val="bottom"/>
          </w:tcPr>
          <w:p>
            <w:pPr>
              <w:jc w:val="right"/>
              <w:spacing w:after="0"/>
              <w:rPr>
                <w:sz w:val="20"/>
                <w:szCs w:val="20"/>
                <w:color w:val="auto"/>
              </w:rPr>
            </w:pPr>
            <w:r>
              <w:rPr>
                <w:rFonts w:ascii="Arial" w:cs="Arial" w:eastAsia="Arial" w:hAnsi="Arial"/>
                <w:sz w:val="13"/>
                <w:szCs w:val="13"/>
                <w:color w:val="auto"/>
              </w:rPr>
              <w:t>29,546</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295</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238,687</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(17,988)</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(20,311)</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8"/>
              <w:spacing w:after="0"/>
              <w:rPr>
                <w:sz w:val="20"/>
                <w:szCs w:val="20"/>
                <w:color w:val="auto"/>
              </w:rPr>
            </w:pPr>
            <w:r>
              <w:rPr>
                <w:rFonts w:ascii="Arial" w:cs="Arial" w:eastAsia="Arial" w:hAnsi="Arial"/>
                <w:sz w:val="13"/>
                <w:szCs w:val="13"/>
                <w:color w:val="auto"/>
              </w:rPr>
              <w:t>200,683</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8"/>
              <w:spacing w:after="0"/>
              <w:rPr>
                <w:sz w:val="20"/>
                <w:szCs w:val="20"/>
                <w:color w:val="auto"/>
              </w:rPr>
            </w:pPr>
            <w:r>
              <w:rPr>
                <w:rFonts w:ascii="Arial" w:cs="Arial" w:eastAsia="Arial" w:hAnsi="Arial"/>
                <w:sz w:val="13"/>
                <w:szCs w:val="13"/>
                <w:color w:val="auto"/>
              </w:rPr>
              <w:t>229</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200,912</w:t>
            </w: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20"/>
                <w:szCs w:val="20"/>
                <w:color w:val="auto"/>
              </w:rPr>
            </w:pPr>
            <w:r>
              <w:rPr>
                <w:rFonts w:ascii="Arial" w:cs="Arial" w:eastAsia="Arial" w:hAnsi="Arial"/>
                <w:sz w:val="13"/>
                <w:szCs w:val="13"/>
                <w:color w:val="auto"/>
                <w:w w:val="90"/>
              </w:rPr>
              <w:t>Other comprehensive income, net of tax</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(7,976)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(7,976)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(7,976)</w:t>
            </w:r>
          </w:p>
        </w:tc>
        <w:tc>
          <w:tcPr>
            <w:tcW w:w="0" w:type="dxa"/>
            <w:vAlign w:val="bottom"/>
          </w:tcPr>
          <w:p>
            <w:pPr>
              <w:spacing w:after="0"/>
              <w:rPr>
                <w:sz w:val="1"/>
                <w:szCs w:val="1"/>
                <w:color w:val="auto"/>
              </w:rPr>
            </w:pPr>
          </w:p>
        </w:tc>
      </w:tr>
      <w:tr>
        <w:trPr>
          <w:trHeight w:val="177"/>
        </w:trPr>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Share-based compensation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2,770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2,770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2,770</w:t>
            </w:r>
          </w:p>
        </w:tc>
        <w:tc>
          <w:tcPr>
            <w:tcW w:w="0" w:type="dxa"/>
            <w:vAlign w:val="bottom"/>
          </w:tcPr>
          <w:p>
            <w:pPr>
              <w:spacing w:after="0"/>
              <w:rPr>
                <w:sz w:val="1"/>
                <w:szCs w:val="1"/>
                <w:color w:val="auto"/>
              </w:rPr>
            </w:pPr>
          </w:p>
        </w:tc>
      </w:tr>
      <w:tr>
        <w:trPr>
          <w:trHeight w:val="161"/>
        </w:trPr>
        <w:tc>
          <w:tcPr>
            <w:tcW w:w="2100" w:type="dxa"/>
            <w:vAlign w:val="bottom"/>
          </w:tcPr>
          <w:p>
            <w:pPr>
              <w:spacing w:after="0"/>
              <w:rPr>
                <w:sz w:val="20"/>
                <w:szCs w:val="20"/>
                <w:color w:val="auto"/>
              </w:rPr>
            </w:pPr>
            <w:r>
              <w:rPr>
                <w:rFonts w:ascii="Arial" w:cs="Arial" w:eastAsia="Arial" w:hAnsi="Arial"/>
                <w:sz w:val="13"/>
                <w:szCs w:val="13"/>
                <w:color w:val="auto"/>
                <w:w w:val="94"/>
              </w:rPr>
              <w:t>Net settlement of restricted stock units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30, 2022</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240,697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(18,708)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193,999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262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194,261</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7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16"/>
                <w:szCs w:val="16"/>
                <w:color w:val="auto"/>
              </w:rPr>
            </w:pPr>
          </w:p>
        </w:tc>
      </w:tr>
      <w:tr>
        <w:trPr>
          <w:trHeight w:val="26"/>
        </w:trPr>
        <w:tc>
          <w:tcPr>
            <w:tcW w:w="7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0"/>
        </w:trPr>
        <w:tc>
          <w:tcPr>
            <w:tcW w:w="78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r>
      <w:tr>
        <w:trPr>
          <w:trHeight w:val="23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r>
      <w:tr>
        <w:trPr>
          <w:trHeight w:val="18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(4,602)</w:t>
            </w:r>
          </w:p>
        </w:tc>
        <w:tc>
          <w:tcPr>
            <w:tcW w:w="112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w:t>
            </w:r>
          </w:p>
        </w:tc>
      </w:tr>
      <w:tr>
        <w:trPr>
          <w:trHeight w:val="182"/>
        </w:trPr>
        <w:tc>
          <w:tcPr>
            <w:tcW w:w="786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16,935</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3,441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7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2,968</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2,770</w:t>
            </w:r>
          </w:p>
        </w:tc>
      </w:tr>
      <w:tr>
        <w:trPr>
          <w:trHeight w:val="186"/>
        </w:trPr>
        <w:tc>
          <w:tcPr>
            <w:tcW w:w="7860" w:type="dxa"/>
            <w:vAlign w:val="bottom"/>
          </w:tcPr>
          <w:p>
            <w:pPr>
              <w:ind w:left="140"/>
              <w:spacing w:after="0"/>
              <w:rPr>
                <w:sz w:val="20"/>
                <w:szCs w:val="20"/>
                <w:color w:val="auto"/>
              </w:rPr>
            </w:pPr>
            <w:r>
              <w:rPr>
                <w:rFonts w:ascii="Arial" w:cs="Arial" w:eastAsia="Arial" w:hAnsi="Arial"/>
                <w:sz w:val="14"/>
                <w:szCs w:val="14"/>
                <w:color w:val="auto"/>
              </w:rPr>
              <w:t>Fair value adjustments to contingent consideration</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45</w:t>
            </w:r>
          </w:p>
        </w:tc>
      </w:tr>
      <w:tr>
        <w:trPr>
          <w:trHeight w:val="18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Foreign currency loss</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Other</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709</w:t>
            </w:r>
          </w:p>
        </w:tc>
      </w:tr>
      <w:tr>
        <w:trPr>
          <w:trHeight w:val="20"/>
        </w:trPr>
        <w:tc>
          <w:tcPr>
            <w:tcW w:w="7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5,856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(23,035)</w:t>
            </w:r>
          </w:p>
        </w:tc>
      </w:tr>
      <w:tr>
        <w:trPr>
          <w:trHeight w:val="20"/>
        </w:trPr>
        <w:tc>
          <w:tcPr>
            <w:tcW w:w="7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(2,402)</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w:t>
            </w:r>
          </w:p>
        </w:tc>
      </w:tr>
      <w:tr>
        <w:trPr>
          <w:trHeight w:val="186"/>
        </w:trPr>
        <w:tc>
          <w:tcPr>
            <w:tcW w:w="7860" w:type="dxa"/>
            <w:vAlign w:val="bottom"/>
          </w:tcPr>
          <w:p>
            <w:pPr>
              <w:ind w:left="14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(7,420)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5,198</w:t>
            </w:r>
          </w:p>
        </w:tc>
      </w:tr>
      <w:tr>
        <w:trPr>
          <w:trHeight w:val="18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4,261</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4,790</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2,676</w:t>
            </w:r>
          </w:p>
        </w:tc>
      </w:tr>
      <w:tr>
        <w:trPr>
          <w:trHeight w:val="20"/>
        </w:trPr>
        <w:tc>
          <w:tcPr>
            <w:tcW w:w="7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r>
      <w:tr>
        <w:trPr>
          <w:trHeight w:val="197"/>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Payment of contingent consideration liability in excess of acquisition-date fair value</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18,321</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7,809</w:t>
            </w:r>
          </w:p>
        </w:tc>
      </w:tr>
      <w:tr>
        <w:trPr>
          <w:trHeight w:val="188"/>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4"/>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 of property, plant and equipment</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(9,801)</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(6,692)</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Purchase of intangible assets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(399)</w:t>
            </w:r>
          </w:p>
        </w:tc>
      </w:tr>
      <w:tr>
        <w:trPr>
          <w:trHeight w:val="20"/>
        </w:trPr>
        <w:tc>
          <w:tcPr>
            <w:tcW w:w="7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 of equipment</w:t>
            </w:r>
          </w:p>
        </w:tc>
        <w:tc>
          <w:tcPr>
            <w:tcW w:w="10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592</w:t>
            </w:r>
          </w:p>
        </w:tc>
      </w:tr>
      <w:tr>
        <w:trPr>
          <w:trHeight w:val="17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(9,811)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(6,499)</w:t>
            </w:r>
          </w:p>
        </w:tc>
      </w:tr>
      <w:tr>
        <w:trPr>
          <w:trHeight w:val="20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Repayment of finance lease obligations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(2,138)</w:t>
            </w:r>
          </w:p>
        </w:tc>
      </w:tr>
      <w:tr>
        <w:trPr>
          <w:trHeight w:val="20"/>
        </w:trPr>
        <w:tc>
          <w:tcPr>
            <w:tcW w:w="7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9"/>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long-term debt</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(9,507)</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Proceeds from revolver</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46,194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56,000</w:t>
            </w:r>
          </w:p>
        </w:tc>
      </w:tr>
      <w:tr>
        <w:trPr>
          <w:trHeight w:val="20"/>
        </w:trPr>
        <w:tc>
          <w:tcPr>
            <w:tcW w:w="7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 of revolver</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(50,100)</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(48,250)</w:t>
            </w:r>
          </w:p>
        </w:tc>
      </w:tr>
      <w:tr>
        <w:trPr>
          <w:trHeight w:val="186"/>
        </w:trPr>
        <w:tc>
          <w:tcPr>
            <w:tcW w:w="7860" w:type="dxa"/>
            <w:vAlign w:val="bottom"/>
          </w:tcPr>
          <w:p>
            <w:pPr>
              <w:ind w:left="140"/>
              <w:spacing w:after="0"/>
              <w:rPr>
                <w:sz w:val="20"/>
                <w:szCs w:val="20"/>
                <w:color w:val="auto"/>
              </w:rPr>
            </w:pPr>
            <w:r>
              <w:rPr>
                <w:rFonts w:ascii="Arial" w:cs="Arial" w:eastAsia="Arial" w:hAnsi="Arial"/>
                <w:sz w:val="14"/>
                <w:szCs w:val="14"/>
                <w:color w:val="auto"/>
              </w:rPr>
              <w:t>Payment of contingent consideration for business acquisitions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(405)</w:t>
            </w:r>
          </w:p>
        </w:tc>
      </w:tr>
      <w:tr>
        <w:trPr>
          <w:trHeight w:val="206"/>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Taxes paid related to net share settlement of share-based awards</w:t>
            </w:r>
          </w:p>
        </w:tc>
        <w:tc>
          <w:tcPr>
            <w:tcW w:w="10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w:t>
            </w:r>
          </w:p>
        </w:tc>
      </w:tr>
      <w:tr>
        <w:trPr>
          <w:trHeight w:val="17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0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(11,187)</w:t>
            </w: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(5,056)</w:t>
            </w:r>
          </w:p>
        </w:tc>
      </w:tr>
      <w:tr>
        <w:trPr>
          <w:trHeight w:val="206"/>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(1,755)</w:t>
            </w:r>
          </w:p>
        </w:tc>
      </w:tr>
      <w:tr>
        <w:trPr>
          <w:trHeight w:val="17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(2,489)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(5,501)</w:t>
            </w:r>
          </w:p>
        </w:tc>
      </w:tr>
      <w:tr>
        <w:trPr>
          <w:trHeight w:val="20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20,488</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24,110</w:t>
            </w:r>
          </w:p>
        </w:tc>
      </w:tr>
      <w:tr>
        <w:trPr>
          <w:trHeight w:val="196"/>
        </w:trPr>
        <w:tc>
          <w:tcPr>
            <w:tcW w:w="786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17,999</w:t>
            </w:r>
          </w:p>
        </w:tc>
        <w:tc>
          <w:tcPr>
            <w:tcW w:w="1120" w:type="dxa"/>
            <w:vAlign w:val="bottom"/>
            <w:gridSpan w:val="2"/>
          </w:tcPr>
          <w:p>
            <w:pPr>
              <w:jc w:val="right"/>
              <w:ind w:right="9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18,609</w:t>
            </w:r>
          </w:p>
        </w:tc>
      </w:tr>
      <w:tr>
        <w:trPr>
          <w:trHeight w:val="188"/>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paid</w:t>
            </w:r>
          </w:p>
        </w:tc>
        <w:tc>
          <w:tcPr>
            <w:tcW w:w="10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Interest, net</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8,899</w:t>
            </w:r>
          </w:p>
        </w:tc>
        <w:tc>
          <w:tcPr>
            <w:tcW w:w="1120" w:type="dxa"/>
            <w:vAlign w:val="bottom"/>
            <w:gridSpan w:val="2"/>
          </w:tcPr>
          <w:p>
            <w:pPr>
              <w:jc w:val="right"/>
              <w:ind w:right="9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3,525</w:t>
            </w:r>
          </w:p>
        </w:tc>
      </w:tr>
      <w:tr>
        <w:trPr>
          <w:trHeight w:val="20"/>
        </w:trPr>
        <w:tc>
          <w:tcPr>
            <w:tcW w:w="7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taxes, net of refunds</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112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(3,466)</w:t>
            </w:r>
          </w:p>
        </w:tc>
      </w:tr>
      <w:tr>
        <w:trPr>
          <w:trHeight w:val="188"/>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4"/>
        </w:trPr>
        <w:tc>
          <w:tcPr>
            <w:tcW w:w="7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Equipment acquired through finance lease obligations</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5,764</w:t>
            </w:r>
          </w:p>
        </w:tc>
        <w:tc>
          <w:tcPr>
            <w:tcW w:w="1120" w:type="dxa"/>
            <w:vAlign w:val="bottom"/>
            <w:gridSpan w:val="2"/>
            <w:shd w:val="clear" w:color="auto" w:fill="CCEEFF"/>
          </w:tcPr>
          <w:p>
            <w:pPr>
              <w:jc w:val="right"/>
              <w:ind w:right="9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2,039</w:t>
            </w:r>
          </w:p>
        </w:tc>
      </w:tr>
      <w:tr>
        <w:trPr>
          <w:trHeight w:val="20"/>
        </w:trPr>
        <w:tc>
          <w:tcPr>
            <w:tcW w:w="78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Mistras Group, Inc., together with its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three operating segments. During the first quarter of 2023, the Company renamed the Services segment to more closely align to the geographical area in which the Segment operates. We did not recast the corresponding financial information for the historical periods presented, as there was no change in the manner which our chief operating decision maker reviews the financial results of each Segment and allocates resources. Our Segments, with the updated naming convention, are as follows:</w:t>
      </w:r>
    </w:p>
    <w:p>
      <w:pPr>
        <w:spacing w:after="0" w:line="214" w:lineRule="exact"/>
        <w:rPr>
          <w:sz w:val="20"/>
          <w:szCs w:val="20"/>
          <w:color w:val="auto"/>
        </w:rPr>
      </w:pPr>
    </w:p>
    <w:p>
      <w:pPr>
        <w:ind w:left="900" w:right="20" w:hanging="244"/>
        <w:spacing w:after="0" w:line="279" w:lineRule="auto"/>
        <w:tabs>
          <w:tab w:leader="none" w:pos="90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North America (Referred to as "Services" in prior filings). </w:t>
      </w:r>
      <w:r>
        <w:rPr>
          <w:rFonts w:ascii="Arial" w:cs="Arial" w:eastAsia="Arial" w:hAnsi="Arial"/>
          <w:sz w:val="17"/>
          <w:szCs w:val="17"/>
          <w:color w:val="auto"/>
        </w:rPr>
        <w:t>This segment provides asset protection solutions predominantly in North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largest concentration in the United 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1" w:lineRule="exact"/>
        <w:rPr>
          <w:rFonts w:ascii="Arial" w:cs="Arial" w:eastAsia="Arial" w:hAnsi="Arial"/>
          <w:sz w:val="17"/>
          <w:szCs w:val="17"/>
          <w:i w:val="1"/>
          <w:iCs w:val="1"/>
          <w:color w:val="auto"/>
        </w:rPr>
      </w:pPr>
    </w:p>
    <w:p>
      <w:pPr>
        <w:jc w:val="both"/>
        <w:ind w:left="900" w:right="80" w:hanging="244"/>
        <w:spacing w:after="0" w:line="26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3" w:lineRule="exact"/>
        <w:rPr>
          <w:rFonts w:ascii="Arial" w:cs="Arial" w:eastAsia="Arial" w:hAnsi="Arial"/>
          <w:sz w:val="18"/>
          <w:szCs w:val="18"/>
          <w:color w:val="auto"/>
        </w:rPr>
      </w:pPr>
    </w:p>
    <w:p>
      <w:pPr>
        <w:ind w:left="900" w:right="80" w:hanging="244"/>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2022, the Company experienced unfavorable foreign currency exchange impacts as it relates to the Company's European operations, which has continued in 2023. Additionally, the Russian-Ukrainian war continues to create disruptions in the oil and gas market and the supply chain in general, which is resulting in some disruption to our business operations. The Company’s European operations are currently experiencing increased costs associated with higher energy costs, among others, due in part to the Russian-Ukrainian war.</w:t>
      </w:r>
    </w:p>
    <w:p>
      <w:pPr>
        <w:spacing w:after="0" w:line="20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2022, the Company eliminated substantially all of the COVID related cost reduction initiatives undertaken in 2020, including re-installment of the savings plan employer match and increasing wages back to pre-pandemic amounts.</w:t>
      </w:r>
    </w:p>
    <w:p>
      <w:pPr>
        <w:spacing w:after="0" w:line="21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 will continue to monitor market conditions and respond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statement of the results for the interim periods of the years ending December 31, 2023 and December 31, 2022.</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2022 Annual Report on Form 10-K ("2022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 The results of operations of companies acquired are included from the date of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significant accounting policies are disclosed in Note 1–</w:t>
      </w:r>
      <w:r>
        <w:rPr>
          <w:rFonts w:ascii="Arial" w:cs="Arial" w:eastAsia="Arial" w:hAnsi="Arial"/>
          <w:sz w:val="18"/>
          <w:szCs w:val="18"/>
          <w:b w:val="1"/>
          <w:bCs w:val="1"/>
          <w:i w:val="1"/>
          <w:iCs w:val="1"/>
          <w:color w:val="auto"/>
        </w:rPr>
        <w:t>Summary of Significant Accounting Policies and Practices</w:t>
      </w:r>
      <w:r>
        <w:rPr>
          <w:rFonts w:ascii="Arial" w:cs="Arial" w:eastAsia="Arial" w:hAnsi="Arial"/>
          <w:sz w:val="18"/>
          <w:szCs w:val="18"/>
          <w:color w:val="auto"/>
        </w:rPr>
        <w:t xml:space="preserve"> in the 2022 Annual Report. On an ongoing basis, the Company evaluates its estimates and assumptions, including among other things, those related to revenue recognition, long-lived assets, goodwill and acquisitions. Since the date of the 2022 Annual Report, there have been no material changes to the Company’s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1075055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management concluded that it is more likely than not that a substantial portion of the Company’s deferred tax assets will be realized.</w:t>
      </w:r>
    </w:p>
    <w:p>
      <w:pPr>
        <w:spacing w:after="0" w:line="262" w:lineRule="exact"/>
        <w:rPr>
          <w:sz w:val="20"/>
          <w:szCs w:val="20"/>
          <w:color w:val="auto"/>
        </w:rPr>
      </w:pPr>
    </w:p>
    <w:p>
      <w:pPr>
        <w:jc w:val="both"/>
        <w:ind w:right="180"/>
        <w:spacing w:after="0" w:line="261"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199"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The Company’s effective income tax rate was approximately (974.3)% and 37.4% for the three months ended June 30, 2023 and 2022, respectively. The Company’s effective income tax rate was approximately 21.5% and 183.6% for the six months ended June 30, 2023 and 2022, respectively.</w:t>
      </w:r>
    </w:p>
    <w:p>
      <w:pPr>
        <w:spacing w:after="0" w:line="15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effective income tax rate for the three months ended June 30, 2023, was lower than the statutory rate primarily due to the impact of favorable discrete item related to stock compensation. The effective income tax rate for the three months ended June 30, 2022 was higher than the statutory rate primarily due a $0.7 million valuation allowance recorded on a foreign jurisdiction.</w:t>
      </w:r>
    </w:p>
    <w:p>
      <w:pPr>
        <w:spacing w:after="0" w:line="20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effective income tax rate for the six months ended June 30, 2023 was lower than the statutory rate due primarily to an unfavorable discrete item related to stock compensation. The effective income tax rate for the six months ended June 30, 2022 was higher than the statutory rate due primarily to a $0.7 million valuation allowance recorded during the period which was related to a foreign jurisdiction.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March 2020 and updated in January 2021, the FASB issued Accounting Standards Update ("ASU") 2020-04 and 2021-01, “Reference Rate Reform (Topic 848): Facilitation of the Effects of Reference Rate Reform on Financial Reporting.” The amendments provide optional guidance for a limited period of time to ease the potential burden in 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2024. The Company is currently evaluating applicable contracts and the available expedients provided by the new guidance.</w:t>
      </w: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2023</w:t>
            </w:r>
          </w:p>
        </w:tc>
        <w:tc>
          <w:tcPr>
            <w:tcW w:w="180" w:type="dxa"/>
            <w:vAlign w:val="bottom"/>
          </w:tcPr>
          <w:p>
            <w:pPr>
              <w:spacing w:after="0"/>
              <w:rPr>
                <w:sz w:val="17"/>
                <w:szCs w:val="17"/>
                <w:color w:val="auto"/>
              </w:rPr>
            </w:pPr>
          </w:p>
        </w:tc>
        <w:tc>
          <w:tcPr>
            <w:tcW w:w="122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North America</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ind w:left="140"/>
              <w:spacing w:after="0"/>
              <w:rPr>
                <w:sz w:val="20"/>
                <w:szCs w:val="20"/>
                <w:color w:val="auto"/>
              </w:rPr>
            </w:pPr>
            <w:r>
              <w:rPr>
                <w:rFonts w:ascii="Arial" w:cs="Arial" w:eastAsia="Arial" w:hAnsi="Arial"/>
                <w:sz w:val="14"/>
                <w:szCs w:val="14"/>
                <w:b w:val="1"/>
                <w:bCs w:val="1"/>
                <w:color w:val="auto"/>
              </w:rPr>
              <w:t>Corp/Elim</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29"/>
        </w:trPr>
        <w:tc>
          <w:tcPr>
            <w:tcW w:w="2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106,124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19,018</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17,737</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13,381</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6,746</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Petrochemical</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1"/>
              </w:rPr>
              <w:t>(3,126)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2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1"/>
              </w:rPr>
              <w:t>(3,126)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176,030</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180" w:type="dxa"/>
            <w:vAlign w:val="bottom"/>
          </w:tcPr>
          <w:p>
            <w:pPr>
              <w:spacing w:after="0"/>
              <w:rPr>
                <w:sz w:val="24"/>
                <w:szCs w:val="24"/>
                <w:color w:val="auto"/>
              </w:rPr>
            </w:pPr>
          </w:p>
        </w:tc>
        <w:tc>
          <w:tcPr>
            <w:tcW w:w="122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North America</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ind w:left="140"/>
              <w:spacing w:after="0"/>
              <w:rPr>
                <w:sz w:val="20"/>
                <w:szCs w:val="20"/>
                <w:color w:val="auto"/>
              </w:rPr>
            </w:pPr>
            <w:r>
              <w:rPr>
                <w:rFonts w:ascii="Arial" w:cs="Arial" w:eastAsia="Arial" w:hAnsi="Arial"/>
                <w:sz w:val="14"/>
                <w:szCs w:val="14"/>
                <w:b w:val="1"/>
                <w:bCs w:val="1"/>
                <w:color w:val="auto"/>
              </w:rPr>
              <w:t>Corp/Elim</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29"/>
        </w:trPr>
        <w:tc>
          <w:tcPr>
            <w:tcW w:w="2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101,265</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22,444</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11,053</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Petrochemical</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1"/>
              </w:rPr>
              <w:t>(2,759)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1"/>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179,031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2023</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9"/>
              </w:rPr>
              <w:t>North America</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Corp/Elim</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r>
      <w:tr>
        <w:trPr>
          <w:trHeight w:val="242"/>
        </w:trPr>
        <w:tc>
          <w:tcPr>
            <w:tcW w:w="20" w:type="dxa"/>
            <w:vAlign w:val="bottom"/>
          </w:tcPr>
          <w:p>
            <w:pPr>
              <w:spacing w:after="0"/>
              <w:rPr>
                <w:sz w:val="21"/>
                <w:szCs w:val="21"/>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187,273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204,789</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37,620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33,650</w:t>
            </w: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16,126</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Petrochemical</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1"/>
              </w:rPr>
              <w:t>(5,188)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1"/>
              </w:rPr>
              <w:t>(5,188)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344,046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0"/>
        </w:trPr>
        <w:tc>
          <w:tcPr>
            <w:tcW w:w="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Six Months Ended June 30, 2022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080"/>
        <w:spacing w:after="0" w:line="266" w:lineRule="auto"/>
        <w:rPr>
          <w:sz w:val="20"/>
          <w:szCs w:val="20"/>
          <w:color w:val="auto"/>
        </w:rPr>
      </w:pPr>
      <w:r>
        <w:rPr>
          <w:rFonts w:ascii="Arial" w:cs="Arial" w:eastAsia="Arial" w:hAnsi="Arial"/>
          <w:sz w:val="18"/>
          <w:szCs w:val="18"/>
          <w:b w:val="1"/>
          <w:bCs w:val="1"/>
          <w:color w:val="auto"/>
        </w:rPr>
        <w:t xml:space="preserve">Mistras Group, Inc. and Subsidiaries Notes to Unaudited Condensed Consolidated Financial Statements </w:t>
      </w: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560"/>
        <w:spacing w:after="0"/>
        <w:tabs>
          <w:tab w:leader="none" w:pos="5140" w:val="left"/>
          <w:tab w:leader="none" w:pos="3480" w:val="left"/>
          <w:tab w:leader="none" w:pos="2000" w:val="left"/>
          <w:tab w:leader="none" w:pos="300" w:val="left"/>
        </w:tabs>
        <w:rPr>
          <w:sz w:val="20"/>
          <w:szCs w:val="20"/>
          <w:color w:val="auto"/>
        </w:rPr>
      </w:pPr>
      <w:r>
        <w:rPr>
          <w:rFonts w:ascii="Arial" w:cs="Arial" w:eastAsia="Arial" w:hAnsi="Arial"/>
          <w:sz w:val="14"/>
          <w:szCs w:val="14"/>
          <w:b w:val="1"/>
          <w:bCs w:val="1"/>
          <w:color w:val="auto"/>
        </w:rPr>
        <w:t>North America</w:t>
      </w:r>
      <w:r>
        <w:rPr>
          <w:sz w:val="20"/>
          <w:szCs w:val="20"/>
          <w:color w:val="auto"/>
        </w:rPr>
        <w:tab/>
      </w:r>
      <w:r>
        <w:rPr>
          <w:rFonts w:ascii="Arial" w:cs="Arial" w:eastAsia="Arial" w:hAnsi="Arial"/>
          <w:sz w:val="14"/>
          <w:szCs w:val="14"/>
          <w:b w:val="1"/>
          <w:bCs w:val="1"/>
          <w:color w:val="auto"/>
        </w:rPr>
        <w:t>International</w:t>
      </w:r>
      <w:r>
        <w:rPr>
          <w:sz w:val="20"/>
          <w:szCs w:val="20"/>
          <w:color w:val="auto"/>
        </w:rPr>
        <w:tab/>
      </w:r>
      <w:r>
        <w:rPr>
          <w:rFonts w:ascii="Arial" w:cs="Arial" w:eastAsia="Arial" w:hAnsi="Arial"/>
          <w:sz w:val="14"/>
          <w:szCs w:val="14"/>
          <w:b w:val="1"/>
          <w:bCs w:val="1"/>
          <w:color w:val="auto"/>
        </w:rPr>
        <w:t>Products</w:t>
      </w:r>
      <w:r>
        <w:rPr>
          <w:sz w:val="20"/>
          <w:szCs w:val="20"/>
          <w:color w:val="auto"/>
        </w:rPr>
        <w:tab/>
      </w:r>
      <w:r>
        <w:rPr>
          <w:rFonts w:ascii="Arial" w:cs="Arial" w:eastAsia="Arial" w:hAnsi="Arial"/>
          <w:sz w:val="14"/>
          <w:szCs w:val="14"/>
          <w:b w:val="1"/>
          <w:bCs w:val="1"/>
          <w:color w:val="auto"/>
        </w:rPr>
        <w:t>Corp/Elim</w:t>
      </w:r>
      <w:r>
        <w:rPr>
          <w:sz w:val="20"/>
          <w:szCs w:val="20"/>
          <w:color w:val="auto"/>
        </w:rPr>
        <w:tab/>
      </w:r>
      <w:r>
        <w:rPr>
          <w:rFonts w:ascii="Arial" w:cs="Arial" w:eastAsia="Arial" w:hAnsi="Arial"/>
          <w:sz w:val="13"/>
          <w:szCs w:val="13"/>
          <w:b w:val="1"/>
          <w:bCs w:val="1"/>
          <w:color w:val="auto"/>
        </w:rPr>
        <w:t>Total</w:t>
      </w:r>
    </w:p>
    <w:p>
      <w:pPr>
        <w:spacing w:after="0" w:line="39" w:lineRule="exact"/>
        <w:rPr>
          <w:sz w:val="20"/>
          <w:szCs w:val="20"/>
          <w:color w:val="auto"/>
        </w:rPr>
      </w:pPr>
    </w:p>
    <w:p>
      <w:pPr>
        <w:sectPr>
          <w:pgSz w:w="11900" w:h="16838" w:orient="portrait"/>
          <w:cols w:equalWidth="0" w:num="2">
            <w:col w:w="2360" w:space="720"/>
            <w:col w:w="8160"/>
          </w:cols>
          <w:pgMar w:left="320" w:top="122" w:right="339" w:bottom="1440" w:gutter="0" w:footer="0" w:header="0"/>
        </w:sectPr>
      </w:pPr>
    </w:p>
    <w:tbl>
      <w:tblPr>
        <w:tblLayout w:type="fixed"/>
        <w:tblInd w:w="20" w:type="dxa"/>
        <w:tblCellMar>
          <w:top w:w="0" w:type="dxa"/>
          <w:left w:w="0" w:type="dxa"/>
          <w:bottom w:w="0" w:type="dxa"/>
          <w:right w:w="0" w:type="dxa"/>
        </w:tblCellMar>
      </w:tblPr>
      <w:tr>
        <w:trPr>
          <w:trHeight w:val="235"/>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179,711</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195,488</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42,514</w:t>
            </w:r>
          </w:p>
        </w:tc>
      </w:tr>
      <w:tr>
        <w:trPr>
          <w:trHeight w:val="24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31,670</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18,282</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w:t>
            </w: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11,260</w:t>
            </w:r>
          </w:p>
        </w:tc>
      </w:tr>
      <w:tr>
        <w:trPr>
          <w:trHeight w:val="23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Petrochemical</w:t>
            </w: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1"/>
              </w:rPr>
              <w:t>(5,117)</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w:t>
            </w:r>
          </w:p>
        </w:tc>
      </w:tr>
      <w:tr>
        <w:trPr>
          <w:trHeight w:val="257"/>
        </w:trPr>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282,474</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57,748</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(5,117)</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340,693</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2023</w:t>
            </w:r>
          </w:p>
        </w:tc>
        <w:tc>
          <w:tcPr>
            <w:tcW w:w="160" w:type="dxa"/>
            <w:vAlign w:val="bottom"/>
          </w:tcPr>
          <w:p>
            <w:pPr>
              <w:spacing w:after="0"/>
              <w:rPr>
                <w:sz w:val="16"/>
                <w:szCs w:val="16"/>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rPr>
              <w:t>North America</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53"/>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293"/>
              <w:spacing w:after="0"/>
              <w:rPr>
                <w:sz w:val="20"/>
                <w:szCs w:val="20"/>
                <w:color w:val="auto"/>
              </w:rPr>
            </w:pPr>
            <w:r>
              <w:rPr>
                <w:rFonts w:ascii="Arial" w:cs="Arial" w:eastAsia="Arial" w:hAnsi="Arial"/>
                <w:sz w:val="14"/>
                <w:szCs w:val="14"/>
                <w:b w:val="1"/>
                <w:bCs w:val="1"/>
                <w:color w:val="auto"/>
              </w:rPr>
              <w:t>Corp/Elim</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6"/>
        </w:trPr>
        <w:tc>
          <w:tcPr>
            <w:tcW w:w="2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23,686</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25,094</w:t>
            </w:r>
          </w:p>
        </w:tc>
        <w:tc>
          <w:tcPr>
            <w:tcW w:w="2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176,030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160" w:type="dxa"/>
            <w:vAlign w:val="bottom"/>
          </w:tcPr>
          <w:p>
            <w:pPr>
              <w:spacing w:after="0"/>
              <w:rPr>
                <w:sz w:val="24"/>
                <w:szCs w:val="24"/>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rPr>
              <w:t>North America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53"/>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293"/>
              <w:spacing w:after="0"/>
              <w:rPr>
                <w:sz w:val="20"/>
                <w:szCs w:val="20"/>
                <w:color w:val="auto"/>
              </w:rPr>
            </w:pPr>
            <w:r>
              <w:rPr>
                <w:rFonts w:ascii="Arial" w:cs="Arial" w:eastAsia="Arial" w:hAnsi="Arial"/>
                <w:sz w:val="14"/>
                <w:szCs w:val="14"/>
                <w:b w:val="1"/>
                <w:bCs w:val="1"/>
                <w:color w:val="auto"/>
              </w:rPr>
              <w:t>Corp/Elim</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22,992</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27,327</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179,031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2023</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North America</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Corp/Elim</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243,572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246,738</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41,339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50,124</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344,046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5"/>
        </w:trPr>
        <w:tc>
          <w:tcPr>
            <w:tcW w:w="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North America</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Corp/Elim</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240,221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242,349</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41,792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53,647</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340,693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2"/>
        </w:trPr>
        <w:tc>
          <w:tcPr>
            <w:tcW w:w="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19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Revenue recognized during the six months ended June 30, 2023 and 2022 that was included in the contract liability balance at the beginning of such year was $4.6 million and $1.4 million, for each period. Changes in the contract asset and liability balances during these periods were not materially impacted by any other factors. The Company applies a practical expedient to expense incremental costs incurred related to obtaining a contract. The Company applies the practical expedient to expense incremental costs incurred relating to obtaining a contract when the amortization period of the asset that the Company otherwise would have recognized is one year or less.</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Share-Based Compensation</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Company grants share-based incentive awards to its eligible employees and non-employee directors under two equity incentive plans: (i) the 2009 Long-Term Incentive Plan (the "2009 Plan") and (ii) the 2016 Long-Term Incentive Plan (the "2016 Plan"). No awards have been granted under the 2009 Plan since the 2016 Plan was approved by shareholders in 2016, and the remaining stock option award granted under the 2009 Plan expired during the three months ended March 31, 2022. Awards granted under the 2016 Plan may be in the form of stock options, restricted stock units and other forms of share-based incentives, including performance restricted stock units, stock appreciation rights and deferred stock rights. At the annual shareholders meeting on May 23, 2022, the Company’s shareholders approved an amendment to increase the total number of shares that may be issued under the 2016 Plan by</w:t>
      </w:r>
    </w:p>
    <w:p>
      <w:pPr>
        <w:spacing w:after="0" w:line="3"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1.2 million, for a total of 4.9 million shares that are authorized for issuance under the 2016 Plan, of which approximately 1,200,000 shares were available for future grants as of June 30, 2023.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March 31, 2022, all remaining outstanding stock options expired. For each of the three and six months ended June 30, 2023 and 2022, the Company did not recognize any share-based compensation expense related to the stock option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For the three months ended June 30, 2023 and June 30, 2022, the Company recognized share-based compensation expense related to restricted stock unit awards of $0.8 million and $0.9 million, respectively. For the six months ended June 30, 2023 and 2022, the Company recognized share-based compensation expense related to restricted stock unit awards of $1.8 million and $1.9 million, respectively. As of June 30, 2023, there was $9.2 million of unrecognized compensation costs, net of estimated forfeitures, related to restricted stock unit awards, which is expected to be recognized over a remaining weighted-average period of 2.9 years. Upon vesting, restricted stock units are generally net share-settled to cover the required withholding tax and the remaining amount is converted into an equivalent number of shares of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80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98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980" w:type="dxa"/>
            <w:vAlign w:val="bottom"/>
          </w:tcPr>
          <w:p>
            <w:pPr>
              <w:jc w:val="right"/>
              <w:ind w:right="78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2,616</w:t>
            </w:r>
          </w:p>
        </w:tc>
        <w:tc>
          <w:tcPr>
            <w:tcW w:w="11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2,164</w:t>
            </w:r>
          </w:p>
        </w:tc>
        <w:tc>
          <w:tcPr>
            <w:tcW w:w="20" w:type="dxa"/>
            <w:vAlign w:val="bottom"/>
          </w:tcPr>
          <w:p>
            <w:pPr>
              <w:spacing w:after="0"/>
              <w:rPr>
                <w:sz w:val="20"/>
                <w:szCs w:val="20"/>
                <w:color w:val="auto"/>
              </w:rPr>
            </w:pPr>
          </w:p>
        </w:tc>
      </w:tr>
      <w:tr>
        <w:trPr>
          <w:trHeight w:val="1829"/>
        </w:trPr>
        <w:tc>
          <w:tcPr>
            <w:tcW w:w="80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ind w:right="700"/>
        <w:spacing w:after="0" w:line="269" w:lineRule="auto"/>
        <w:rPr>
          <w:sz w:val="20"/>
          <w:szCs w:val="20"/>
          <w:color w:val="auto"/>
        </w:rPr>
      </w:pPr>
      <w:r>
        <w:rPr>
          <w:rFonts w:ascii="Arial" w:cs="Arial" w:eastAsia="Arial" w:hAnsi="Arial"/>
          <w:sz w:val="18"/>
          <w:szCs w:val="18"/>
          <w:color w:val="auto"/>
        </w:rPr>
        <w:t>A summary of the fully-vested common stock the Company issued to its six non-employee directors, in connection with its non-employee director compensation plan, is as follows:</w:t>
      </w: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8"/>
          </w:tcPr>
          <w:p>
            <w:pPr>
              <w:ind w:lef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gridSpan w:val="4"/>
          </w:tcPr>
          <w:p>
            <w:pPr>
              <w:jc w:val="right"/>
              <w:ind w:right="78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6640" w:type="dxa"/>
            <w:vAlign w:val="bottom"/>
            <w:gridSpan w:val="4"/>
          </w:tcPr>
          <w:p>
            <w:pPr>
              <w:spacing w:after="0"/>
              <w:rPr>
                <w:sz w:val="20"/>
                <w:szCs w:val="20"/>
                <w:color w:val="auto"/>
              </w:rPr>
            </w:pPr>
            <w:r>
              <w:rPr>
                <w:rFonts w:ascii="Arial" w:cs="Arial" w:eastAsia="Arial" w:hAnsi="Arial"/>
                <w:sz w:val="18"/>
                <w:szCs w:val="18"/>
                <w:color w:val="auto"/>
                <w:w w:val="92"/>
              </w:rPr>
              <w:t>A summary of the Company’s outstanding, non-vested restricted share units is as follows:</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7"/>
                <w:szCs w:val="17"/>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ind w:left="88"/>
              <w:spacing w:after="0" w:line="139" w:lineRule="exact"/>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98"/>
              <w:spacing w:after="0" w:line="139" w:lineRule="exact"/>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ind w:left="88"/>
              <w:spacing w:after="0" w:line="14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5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ind w:left="68"/>
              <w:spacing w:after="0" w:line="139" w:lineRule="exact"/>
              <w:rPr>
                <w:sz w:val="20"/>
                <w:szCs w:val="20"/>
                <w:color w:val="auto"/>
              </w:rPr>
            </w:pPr>
            <w:r>
              <w:rPr>
                <w:rFonts w:ascii="Arial" w:cs="Arial" w:eastAsia="Arial" w:hAnsi="Arial"/>
                <w:sz w:val="14"/>
                <w:szCs w:val="14"/>
                <w:b w:val="1"/>
                <w:bCs w:val="1"/>
                <w:color w:val="auto"/>
                <w:w w:val="99"/>
              </w:rPr>
              <w:t>Grant-Date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Units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Outstanding at beginning of period:</w:t>
            </w: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6.66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140"/>
              <w:spacing w:after="0"/>
              <w:rPr>
                <w:sz w:val="20"/>
                <w:szCs w:val="20"/>
                <w:color w:val="auto"/>
              </w:rPr>
            </w:pPr>
            <w:r>
              <w:rPr>
                <w:rFonts w:ascii="Arial" w:cs="Arial" w:eastAsia="Arial" w:hAnsi="Arial"/>
                <w:sz w:val="18"/>
                <w:szCs w:val="18"/>
                <w:color w:val="auto"/>
              </w:rPr>
              <w:t>Released</w:t>
            </w:r>
          </w:p>
        </w:tc>
        <w:tc>
          <w:tcPr>
            <w:tcW w:w="1540" w:type="dxa"/>
            <w:vAlign w:val="bottom"/>
          </w:tcPr>
          <w:p>
            <w:pPr>
              <w:jc w:val="right"/>
              <w:spacing w:after="0"/>
              <w:rPr>
                <w:sz w:val="20"/>
                <w:szCs w:val="20"/>
                <w:color w:val="auto"/>
              </w:rPr>
            </w:pPr>
            <w:r>
              <w:rPr>
                <w:rFonts w:ascii="Arial" w:cs="Arial" w:eastAsia="Arial" w:hAnsi="Arial"/>
                <w:sz w:val="18"/>
                <w:szCs w:val="18"/>
                <w:color w:val="auto"/>
              </w:rPr>
              <w:t>(430)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6.09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0"/>
                <w:szCs w:val="20"/>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7.94</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7.62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1,537</w:t>
            </w:r>
          </w:p>
        </w:tc>
        <w:tc>
          <w:tcPr>
            <w:tcW w:w="20" w:type="dxa"/>
            <w:vAlign w:val="bottom"/>
          </w:tcPr>
          <w:p>
            <w:pPr>
              <w:spacing w:after="0"/>
              <w:rPr>
                <w:sz w:val="19"/>
                <w:szCs w:val="19"/>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w:t>
      </w:r>
    </w:p>
    <w:p>
      <w:pPr>
        <w:spacing w:after="0" w:line="20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2022, the Compensation Committee utilized the same structure for the Company's equity incentive compensation plan for its executive officers as 2021, and approved the new target awards for 2022. The three metrics were:</w:t>
      </w:r>
    </w:p>
    <w:p>
      <w:pPr>
        <w:spacing w:after="0" w:line="1"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net cash provided by operating activities less purchases of property, plant, equipment and intangible assets and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approved by the Compensation Committee.</w:t>
      </w:r>
    </w:p>
    <w:p>
      <w:pPr>
        <w:jc w:val="both"/>
        <w:ind w:left="660" w:hanging="328"/>
        <w:spacing w:after="0" w:line="281"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Total Shareholder Return (TSR) </w:t>
      </w:r>
      <w:r>
        <w:rPr>
          <w:rFonts w:ascii="Arial" w:cs="Arial" w:eastAsia="Arial" w:hAnsi="Arial"/>
          <w:sz w:val="16"/>
          <w:szCs w:val="16"/>
          <w:color w:val="auto"/>
        </w:rPr>
        <w:t>measures the total return to shareholders of the Company during 2021 versus the total return to the shareholders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2020), compared to the average share price during the 20-trading day period ending on the final measurement date (the last 20 trading days of 2021). Any cash dividends or distributions paid in 2021 will be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4" w:lineRule="exact"/>
        <w:rPr>
          <w:rFonts w:ascii="Arial" w:cs="Arial" w:eastAsia="Arial" w:hAnsi="Arial"/>
          <w:sz w:val="16"/>
          <w:szCs w:val="16"/>
          <w:color w:val="auto"/>
        </w:rPr>
      </w:pPr>
    </w:p>
    <w:p>
      <w:pPr>
        <w:ind w:left="130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of the Company’s common stock at the date of grant was estimated based on a historical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rate for the approximate 1-year performance period.</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dividend yield assumption was based on historical and anticipated dividend payouts (assumed at zero).</w:t>
      </w:r>
    </w:p>
    <w:p>
      <w:pPr>
        <w:spacing w:after="0" w:line="9"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observed interest rates consistent with the approximate 1-year performance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1074420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2023, the Compensation Committee made changes to the Company's equity incentive compensation plan for its executive officers including modifying the metrics utilized, and approved the new target awards for 2023. The three metrics are:</w:t>
      </w:r>
    </w:p>
    <w:p>
      <w:pPr>
        <w:spacing w:after="0" w:line="1" w:lineRule="exact"/>
        <w:rPr>
          <w:sz w:val="20"/>
          <w:szCs w:val="20"/>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net cash provided by operating activities less purchases of property, plant, equipment and intangible assets and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approved by the Compensation Committee.</w:t>
      </w:r>
    </w:p>
    <w:p>
      <w:pPr>
        <w:jc w:val="both"/>
        <w:ind w:left="660" w:hanging="328"/>
        <w:spacing w:after="0" w:line="281"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Revenue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Compensation costs related to the PRSUs are subsequently adjusted for changes in the expected outcomes of the performance conditions. Compensation cost related to the PRSUs with a market condition is not reversed if the market 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as follows:</w:t>
      </w:r>
    </w:p>
    <w:p>
      <w:pPr>
        <w:spacing w:after="0" w:line="41"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2023</w:t>
            </w:r>
          </w:p>
        </w:tc>
        <w:tc>
          <w:tcPr>
            <w:tcW w:w="12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57"/>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77"/>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0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77"/>
              <w:spacing w:after="0" w:line="144" w:lineRule="exact"/>
              <w:rPr>
                <w:sz w:val="20"/>
                <w:szCs w:val="20"/>
                <w:color w:val="auto"/>
              </w:rPr>
            </w:pPr>
            <w:r>
              <w:rPr>
                <w:rFonts w:ascii="Arial" w:cs="Arial" w:eastAsia="Arial" w:hAnsi="Arial"/>
                <w:sz w:val="14"/>
                <w:szCs w:val="14"/>
                <w:b w:val="1"/>
                <w:bCs w:val="1"/>
                <w:color w:val="auto"/>
                <w:w w:val="99"/>
              </w:rPr>
              <w:t>Grant-Date</w:t>
            </w:r>
          </w:p>
        </w:tc>
        <w:tc>
          <w:tcPr>
            <w:tcW w:w="120" w:type="dxa"/>
            <w:vAlign w:val="bottom"/>
          </w:tcPr>
          <w:p>
            <w:pPr>
              <w:spacing w:after="0"/>
              <w:rPr>
                <w:sz w:val="12"/>
                <w:szCs w:val="12"/>
                <w:color w:val="auto"/>
              </w:rPr>
            </w:pPr>
          </w:p>
        </w:tc>
        <w:tc>
          <w:tcPr>
            <w:tcW w:w="15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4"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9"/>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Performance condition adjustments</w:t>
            </w:r>
          </w:p>
        </w:tc>
        <w:tc>
          <w:tcPr>
            <w:tcW w:w="520" w:type="dxa"/>
            <w:vAlign w:val="bottom"/>
          </w:tcPr>
          <w:p>
            <w:pPr>
              <w:jc w:val="right"/>
              <w:spacing w:after="0"/>
              <w:rPr>
                <w:sz w:val="20"/>
                <w:szCs w:val="20"/>
                <w:color w:val="auto"/>
              </w:rPr>
            </w:pPr>
            <w:r>
              <w:rPr>
                <w:rFonts w:ascii="Arial" w:cs="Arial" w:eastAsia="Arial" w:hAnsi="Arial"/>
                <w:sz w:val="18"/>
                <w:szCs w:val="18"/>
                <w:color w:val="auto"/>
              </w:rPr>
              <w:t>(215)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During the six months ended June 30, 2023, the Compensation Committee approved the final calculation of the award metrics for calendar year 2022. As a result, the calendar year 2023 PRSUs decreased by approximately 215,000 units during the six months ended June 30, 2023 as a result of the final calculation of award metrics for 2022 awards and based on forecasted results for 2023 as compared to performance metrics determined by the Compensation Committee.</w:t>
      </w:r>
    </w:p>
    <w:p>
      <w:pPr>
        <w:spacing w:after="0" w:line="20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the three months ended June 30, 2023 and June 30, 2022, the Company recognized aggregate share-based compensation expense related to the awards described above of approximately $0.2 million and $0.3 million, respectively. For the six months ended June 30, 2023 and June 30, 2022, the Company recognized aggregate share-based compensation expense related to the awards described above of approximately $0.6 million and $0.6 million, respectively. At June 30, 2023, there was $1.5 million of total unrecognized compensation costs related to approximately 199,000 non-vested PRSUs, which is expected to be recognized over a remaining weighted-average period of 1.6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1248410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(loss) per Share</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Basic earnings (loss) per share is computed by dividing net income (loss) by the weighted-average number of shares outstanding during the period. Diluted earnings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(loss) per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48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r>
      <w:tr>
        <w:trPr>
          <w:trHeight w:val="49"/>
        </w:trPr>
        <w:tc>
          <w:tcPr>
            <w:tcW w:w="4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29,840</w:t>
            </w:r>
          </w:p>
        </w:tc>
      </w:tr>
      <w:tr>
        <w:trPr>
          <w:trHeight w:val="232"/>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72"/>
        </w:trPr>
        <w:tc>
          <w:tcPr>
            <w:tcW w:w="4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4,643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(4,649)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84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29,840</w:t>
            </w:r>
          </w:p>
        </w:tc>
      </w:tr>
      <w:tr>
        <w:trPr>
          <w:trHeight w:val="236"/>
        </w:trPr>
        <w:tc>
          <w:tcPr>
            <w:tcW w:w="4840" w:type="dxa"/>
            <w:vAlign w:val="bottom"/>
            <w:tcBorders>
              <w:bottom w:val="single" w:sz="8" w:color="CCEEFF"/>
            </w:tcBorders>
            <w:shd w:val="clear" w:color="auto" w:fill="CCEEFF"/>
          </w:tcPr>
          <w:p>
            <w:pPr>
              <w:ind w:left="140"/>
              <w:spacing w:after="0" w:line="236" w:lineRule="exact"/>
              <w:rPr>
                <w:sz w:val="20"/>
                <w:szCs w:val="20"/>
                <w:color w:val="auto"/>
              </w:rPr>
            </w:pPr>
            <w:r>
              <w:rPr>
                <w:rFonts w:ascii="Arial" w:cs="Arial" w:eastAsia="Arial" w:hAnsi="Arial"/>
                <w:sz w:val="18"/>
                <w:szCs w:val="18"/>
                <w:color w:val="auto"/>
              </w:rPr>
              <w:t xml:space="preserve">Dilutive effect of restricted stock units outstanding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29,840</w:t>
            </w:r>
          </w:p>
        </w:tc>
      </w:tr>
      <w:tr>
        <w:trPr>
          <w:trHeight w:val="23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180" w:right="180" w:hanging="172"/>
        <w:spacing w:after="0" w:line="248" w:lineRule="auto"/>
        <w:tabs>
          <w:tab w:leader="none" w:pos="184"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For the six months ended June 30, 2023 and 2022, 1,106,595 shares and 1,412,073 shares related to restricted stock were excluded from the calculation of diluted EPS due to the net loss for the period.</w:t>
      </w:r>
    </w:p>
    <w:p>
      <w:pPr>
        <w:spacing w:after="0" w:line="200" w:lineRule="exact"/>
        <w:rPr>
          <w:sz w:val="20"/>
          <w:szCs w:val="20"/>
          <w:color w:val="auto"/>
        </w:rPr>
      </w:pPr>
    </w:p>
    <w:p>
      <w:pPr>
        <w:spacing w:after="0" w:line="2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(Loss) and were as follows for the three and six months ended June 30, 2023 and 2022: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70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8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4880" w:type="dxa"/>
            <w:vAlign w:val="bottom"/>
          </w:tcPr>
          <w:p>
            <w:pPr>
              <w:spacing w:after="0"/>
              <w:rPr>
                <w:sz w:val="15"/>
                <w:szCs w:val="15"/>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38"/>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Adjustments to fair value of contingent consideration liabilities</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Company's contingent consideration liabilities are included in Accrued expenses and other current liabilities and Other long-term liabilities on the Condensed Consolidated Balance Sheets.</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7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December 31, 2022</w:t>
            </w:r>
          </w:p>
        </w:tc>
      </w:tr>
      <w:tr>
        <w:trPr>
          <w:trHeight w:val="26"/>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127,767</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$20.5 million and $13.5 million of unbilled revenue accrued as of June 30, 2023 and December 31, 2022,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214"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its damages. The Company recorded a full reserve for this receivable during 2019. The parties agreed to a settlement in the quarter ending June 30, 2023 with releases executed in July, whereby the Company would release its claim for the $1.4 million of outstanding receivables. Accordingly, the receivable has been written off. See Note 14-</w:t>
      </w:r>
      <w:r>
        <w:rPr>
          <w:rFonts w:ascii="Arial" w:cs="Arial" w:eastAsia="Arial" w:hAnsi="Arial"/>
          <w:sz w:val="17"/>
          <w:szCs w:val="17"/>
          <w:b w:val="1"/>
          <w:bCs w:val="1"/>
          <w:i w:val="1"/>
          <w:iCs w:val="1"/>
          <w:color w:val="auto"/>
        </w:rPr>
        <w:t xml:space="preserve">Commitments and Contingencies </w:t>
      </w:r>
      <w:r>
        <w:rPr>
          <w:rFonts w:ascii="Arial" w:cs="Arial" w:eastAsia="Arial" w:hAnsi="Arial"/>
          <w:sz w:val="17"/>
          <w:szCs w:val="17"/>
          <w:color w:val="auto"/>
        </w:rPr>
        <w:t>for additional details.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w w:val="94"/>
              </w:rPr>
              <w:t>June 30, 2023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consumable supplies</w:t>
            </w:r>
          </w:p>
        </w:tc>
        <w:tc>
          <w:tcPr>
            <w:tcW w:w="7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Work in progress and finished goods</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5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7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Property, Plant and Equipment, net</w:t>
            </w: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940" w:type="dxa"/>
            <w:vAlign w:val="bottom"/>
          </w:tcPr>
          <w:p>
            <w:pPr>
              <w:spacing w:after="0"/>
              <w:rPr>
                <w:sz w:val="24"/>
                <w:szCs w:val="24"/>
                <w:color w:val="auto"/>
              </w:rPr>
            </w:pPr>
          </w:p>
        </w:tc>
        <w:tc>
          <w:tcPr>
            <w:tcW w:w="1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Useful Life</w:t>
            </w:r>
          </w:p>
        </w:tc>
        <w:tc>
          <w:tcPr>
            <w:tcW w:w="130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6"/>
              </w:rPr>
              <w:t>(Years)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2,449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760" w:type="dxa"/>
            <w:vAlign w:val="bottom"/>
            <w:gridSpan w:val="2"/>
          </w:tcPr>
          <w:p>
            <w:pPr>
              <w:jc w:val="center"/>
              <w:ind w:left="173"/>
              <w:spacing w:after="0"/>
              <w:rPr>
                <w:sz w:val="20"/>
                <w:szCs w:val="20"/>
                <w:color w:val="auto"/>
              </w:rPr>
            </w:pPr>
            <w:r>
              <w:rPr>
                <w:rFonts w:ascii="Arial" w:cs="Arial" w:eastAsia="Arial" w:hAnsi="Arial"/>
                <w:sz w:val="18"/>
                <w:szCs w:val="18"/>
                <w:color w:val="auto"/>
                <w:w w:val="91"/>
              </w:rPr>
              <w:t>30-40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25,815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76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92"/>
              </w:rPr>
              <w:t>5-8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22,270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0" w:type="dxa"/>
            <w:vAlign w:val="bottom"/>
          </w:tcPr>
          <w:p>
            <w:pPr>
              <w:spacing w:after="0"/>
              <w:rPr>
                <w:sz w:val="1"/>
                <w:szCs w:val="1"/>
                <w:color w:val="auto"/>
              </w:rPr>
            </w:pPr>
          </w:p>
        </w:tc>
      </w:tr>
      <w:tr>
        <w:trPr>
          <w:trHeight w:val="24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760" w:type="dxa"/>
            <w:vAlign w:val="bottom"/>
            <w:tcBorders>
              <w:bottom w:val="single" w:sz="8" w:color="CCEEFF"/>
            </w:tcBorders>
            <w:gridSpan w:val="2"/>
          </w:tcPr>
          <w:p>
            <w:pPr>
              <w:jc w:val="center"/>
              <w:ind w:left="153"/>
              <w:spacing w:after="0"/>
              <w:rPr>
                <w:sz w:val="20"/>
                <w:szCs w:val="20"/>
                <w:color w:val="auto"/>
              </w:rPr>
            </w:pPr>
            <w:r>
              <w:rPr>
                <w:rFonts w:ascii="Arial" w:cs="Arial" w:eastAsia="Arial" w:hAnsi="Arial"/>
                <w:sz w:val="18"/>
                <w:szCs w:val="18"/>
                <w:color w:val="auto"/>
                <w:w w:val="92"/>
              </w:rPr>
              <w:t>5-7</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259,697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251,282</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310,231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296,668</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(228,934)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(219,107)</w:t>
            </w:r>
          </w:p>
        </w:tc>
        <w:tc>
          <w:tcPr>
            <w:tcW w:w="0" w:type="dxa"/>
            <w:vAlign w:val="bottom"/>
          </w:tcPr>
          <w:p>
            <w:pPr>
              <w:spacing w:after="0"/>
              <w:rPr>
                <w:sz w:val="1"/>
                <w:szCs w:val="1"/>
                <w:color w:val="auto"/>
              </w:rPr>
            </w:pPr>
          </w:p>
        </w:tc>
      </w:tr>
      <w:tr>
        <w:trPr>
          <w:trHeight w:val="257"/>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81,297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June 30, 2023 and 2022 was approximately $6.2 million and $5.8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six months ended June 30, 2023 and 2022 was $12.4 million and $12.3 million, respectively.</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15"/>
              <w:spacing w:after="0"/>
              <w:rPr>
                <w:sz w:val="20"/>
                <w:szCs w:val="20"/>
                <w:color w:val="auto"/>
              </w:rPr>
            </w:pPr>
            <w:r>
              <w:rPr>
                <w:rFonts w:ascii="Arial" w:cs="Arial" w:eastAsia="Arial" w:hAnsi="Arial"/>
                <w:sz w:val="14"/>
                <w:szCs w:val="14"/>
                <w:b w:val="1"/>
                <w:bCs w:val="1"/>
                <w:color w:val="auto"/>
              </w:rPr>
              <w:t>North America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95"/>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w w:val="94"/>
              </w:rPr>
              <w:t>Products and Systems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5"/>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199,635</w:t>
            </w:r>
          </w:p>
        </w:tc>
      </w:tr>
      <w:tr>
        <w:trPr>
          <w:trHeight w:val="24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201,586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9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 performed a quantitative annual impairment test as of October 1, 2022 and the Company did not identify any changes in circumstances that would indicate the carrying value of goodwill may not be recoverable. Additionally, through June 30, 2023,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 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1"/>
                <w:szCs w:val="11"/>
                <w:color w:val="auto"/>
              </w:rPr>
            </w:pPr>
          </w:p>
        </w:tc>
        <w:tc>
          <w:tcPr>
            <w:tcW w:w="8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040" w:type="dxa"/>
            <w:vAlign w:val="bottom"/>
          </w:tcPr>
          <w:p>
            <w:pPr>
              <w:jc w:val="center"/>
              <w:ind w:right="157"/>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ind w:right="257"/>
              <w:spacing w:after="0" w:line="12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7"/>
              <w:spacing w:after="0" w:line="13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ind w:right="277"/>
              <w:spacing w:after="0" w:line="13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800" w:type="dxa"/>
            <w:vAlign w:val="bottom"/>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040" w:type="dxa"/>
            <w:vAlign w:val="bottom"/>
          </w:tcPr>
          <w:p>
            <w:pPr>
              <w:jc w:val="center"/>
              <w:ind w:right="15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25,553</w:t>
            </w:r>
          </w:p>
        </w:tc>
        <w:tc>
          <w:tcPr>
            <w:tcW w:w="0" w:type="dxa"/>
            <w:vAlign w:val="bottom"/>
          </w:tcPr>
          <w:p>
            <w:pPr>
              <w:spacing w:after="0"/>
              <w:rPr>
                <w:sz w:val="1"/>
                <w:szCs w:val="1"/>
                <w:color w:val="auto"/>
              </w:rPr>
            </w:pP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color w:val="auto"/>
              </w:rPr>
              <w:t>Software/Technology</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52,759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22,359</w:t>
            </w:r>
          </w:p>
        </w:tc>
        <w:tc>
          <w:tcPr>
            <w:tcW w:w="0" w:type="dxa"/>
            <w:vAlign w:val="bottom"/>
          </w:tcPr>
          <w:p>
            <w:pPr>
              <w:spacing w:after="0"/>
              <w:rPr>
                <w:sz w:val="1"/>
                <w:szCs w:val="1"/>
                <w:color w:val="auto"/>
              </w:rPr>
            </w:pPr>
          </w:p>
        </w:tc>
      </w:tr>
      <w:tr>
        <w:trPr>
          <w:trHeight w:val="23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2-12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10,457</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June 30, 2023 and 2022 was approximately $2.2 million and $2.3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six months ended June 30, 2023 and June 30, 2022 was $4.3 million and $4.6 million,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7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w:t>
            </w:r>
          </w:p>
        </w:tc>
        <w:tc>
          <w:tcPr>
            <w:tcW w:w="20" w:type="dxa"/>
            <w:vAlign w:val="bottom"/>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20" w:type="dxa"/>
            <w:vAlign w:val="bottom"/>
          </w:tcPr>
          <w:p>
            <w:pPr>
              <w:spacing w:after="0"/>
              <w:rPr>
                <w:sz w:val="19"/>
                <w:szCs w:val="19"/>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7,521</w:t>
            </w:r>
          </w:p>
        </w:tc>
        <w:tc>
          <w:tcPr>
            <w:tcW w:w="20" w:type="dxa"/>
            <w:vAlign w:val="bottom"/>
          </w:tcPr>
          <w:p>
            <w:pPr>
              <w:spacing w:after="0"/>
              <w:rPr>
                <w:sz w:val="20"/>
                <w:szCs w:val="20"/>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accrual</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20" w:type="dxa"/>
            <w:vAlign w:val="bottom"/>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Right-of-use liability - Operating</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10,376</w:t>
            </w:r>
          </w:p>
        </w:tc>
        <w:tc>
          <w:tcPr>
            <w:tcW w:w="20" w:type="dxa"/>
            <w:vAlign w:val="bottom"/>
          </w:tcPr>
          <w:p>
            <w:pPr>
              <w:spacing w:after="0"/>
              <w:rPr>
                <w:sz w:val="19"/>
                <w:szCs w:val="19"/>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26,147</w:t>
            </w:r>
          </w:p>
        </w:tc>
        <w:tc>
          <w:tcPr>
            <w:tcW w:w="20" w:type="dxa"/>
            <w:vAlign w:val="bottom"/>
          </w:tcPr>
          <w:p>
            <w:pPr>
              <w:spacing w:after="0"/>
              <w:rPr>
                <w:sz w:val="21"/>
                <w:szCs w:val="21"/>
                <w:color w:val="auto"/>
              </w:rPr>
            </w:pP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77,844</w:t>
            </w:r>
          </w:p>
        </w:tc>
        <w:tc>
          <w:tcPr>
            <w:tcW w:w="2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6"/>
        </w:trPr>
        <w:tc>
          <w:tcPr>
            <w:tcW w:w="8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73"/>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2022</w:t>
            </w:r>
          </w:p>
        </w:tc>
      </w:tr>
      <w:tr>
        <w:trPr>
          <w:trHeight w:val="26"/>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65,250</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w w:val="91"/>
              </w:rPr>
              <w:t>Senior secured term loan, net of unamortized debt issuance costs of $0.5 million and $0.5 million, respectively</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118,326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121,399</w:t>
            </w: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183,671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191,251</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183,826</w:t>
            </w:r>
          </w:p>
        </w:tc>
      </w:tr>
      <w:tr>
        <w:trPr>
          <w:trHeight w:val="21"/>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1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Prior to entering into the Credit Agreement (defined and described below), the Company had a credit agreement with its banking group (the "Prior Credit Agreement") which provided the Company with a $150 million revolving credit facility and a $100 million term loan. The Prior Credit Agreement was most recently amended on May 19, 2021 and had a maturity date of December 12, 2023.</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August 1, 2022, the Company entered into a new credit agreement (the “Credit Agreement”) which replaced the Prior Credit Agreement and provides the Company with a $190 million 5-year committed revolving credit facility and a $125 million term loan with a balance of $119 million as of June 30, 2023.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has the following key terms, conditions and financial covenants:</w:t>
      </w:r>
    </w:p>
    <w:p>
      <w:pPr>
        <w:spacing w:after="0" w:line="225" w:lineRule="exact"/>
        <w:rPr>
          <w:sz w:val="20"/>
          <w:szCs w:val="20"/>
          <w:color w:val="auto"/>
        </w:rPr>
      </w:pPr>
    </w:p>
    <w:p>
      <w:pPr>
        <w:ind w:left="660" w:right="2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Borrowings bear interest at Secured Overnight Financing Rate ("SOFR") plus a credit spread adjustment and applicable SOFR margin ranging from 1.25% to 2.75%, based upon our Total Consolidated Debt Leverage Ratio (defined below); under the Prior Credit Agreement, the margin was based upon the LIBOR margin.</w:t>
      </w:r>
    </w:p>
    <w:p>
      <w:pPr>
        <w:spacing w:after="0" w:line="2" w:lineRule="exact"/>
        <w:rPr>
          <w:rFonts w:ascii="Arial" w:cs="Arial" w:eastAsia="Arial" w:hAnsi="Arial"/>
          <w:sz w:val="18"/>
          <w:szCs w:val="18"/>
          <w:color w:val="auto"/>
        </w:rPr>
      </w:pPr>
    </w:p>
    <w:p>
      <w:pPr>
        <w:ind w:left="1300" w:right="740" w:hanging="320"/>
        <w:spacing w:after="0" w:line="21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Total Consolidated Debt Leverage Ratio means the ratio of (a) Total Consolidated Debt to (b) EBITDA (as defined in the Credit Agreement) for the trailing four consecutive fiscal quarters.</w:t>
      </w: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Total Consolidated Debt means all indebtedness (including subordinated debt) of the Company on a consolidated basis.</w:t>
      </w:r>
    </w:p>
    <w:p>
      <w:pPr>
        <w:spacing w:after="0" w:line="209" w:lineRule="exact"/>
        <w:rPr>
          <w:rFonts w:ascii="Arial" w:cs="Arial" w:eastAsia="Arial" w:hAnsi="Arial"/>
          <w:sz w:val="18"/>
          <w:szCs w:val="18"/>
          <w:color w:val="auto"/>
        </w:rPr>
      </w:pPr>
    </w:p>
    <w:p>
      <w:pPr>
        <w:jc w:val="both"/>
        <w:ind w:left="660" w:right="40" w:hanging="328"/>
        <w:spacing w:after="0" w:line="28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168" w:lineRule="exact"/>
        <w:rPr>
          <w:rFonts w:ascii="Arial" w:cs="Arial" w:eastAsia="Arial" w:hAnsi="Arial"/>
          <w:sz w:val="16"/>
          <w:szCs w:val="16"/>
          <w:color w:val="auto"/>
        </w:rPr>
      </w:pPr>
    </w:p>
    <w:p>
      <w:pPr>
        <w:ind w:left="660" w:right="320" w:hanging="328"/>
        <w:spacing w:after="0" w:line="29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to maintain a Total Consolidated Debt Leverage Ratio of no more than 4.0 to 1.0 at the end of each quarter through June 30, 2023 and stepping down to a maximum permitted ratio of no more than 3.75 to 1.0 for the remainder of the term.</w:t>
      </w:r>
    </w:p>
    <w:p>
      <w:pPr>
        <w:spacing w:after="0" w:line="160" w:lineRule="exact"/>
        <w:rPr>
          <w:rFonts w:ascii="Arial" w:cs="Arial" w:eastAsia="Arial" w:hAnsi="Arial"/>
          <w:sz w:val="17"/>
          <w:szCs w:val="17"/>
          <w:color w:val="auto"/>
        </w:rPr>
      </w:pPr>
    </w:p>
    <w:p>
      <w:pPr>
        <w:ind w:left="660" w:right="48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to maintain a Fixed Charge Coverage Ratio of 1.25 to 1.0 for the duration of the New Credit Agreement, as defined in the Credit Agreement.</w:t>
      </w:r>
    </w:p>
    <w:p>
      <w:pPr>
        <w:spacing w:after="0" w:line="196" w:lineRule="exact"/>
        <w:rPr>
          <w:rFonts w:ascii="Arial" w:cs="Arial" w:eastAsia="Arial" w:hAnsi="Arial"/>
          <w:sz w:val="18"/>
          <w:szCs w:val="18"/>
          <w:color w:val="auto"/>
        </w:rPr>
      </w:pPr>
    </w:p>
    <w:p>
      <w:pPr>
        <w:jc w:val="both"/>
        <w:ind w:left="660" w:right="360" w:hanging="328"/>
        <w:spacing w:after="0" w:line="26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1066165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left="660" w:hanging="328"/>
        <w:spacing w:after="0" w:line="23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01" w:lineRule="exact"/>
        <w:rPr>
          <w:rFonts w:ascii="Arial" w:cs="Arial" w:eastAsia="Arial" w:hAnsi="Arial"/>
          <w:sz w:val="18"/>
          <w:szCs w:val="18"/>
          <w:color w:val="auto"/>
        </w:rPr>
      </w:pPr>
    </w:p>
    <w:p>
      <w:pPr>
        <w:ind w:left="660" w:right="50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Credit Agreement was accounted for as a modification and the Company expensed $0.8 million in unamortized capitalized debt issuance costs and fees during the three months ended September 30, 2022, which was included in selling, general and administrative expenses on the Consolidated Statements of Income (Loss). The Company incurred $1.6 million in financing costs for the Credit Agreement, of which $0.2 million of third party costs were expensed and included in selling, general and administrative expenses on the Consolidated Statements of Income (Loss) during the three months ended September 30, 2022.</w:t>
      </w:r>
    </w:p>
    <w:p>
      <w:pPr>
        <w:spacing w:after="0" w:line="22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As of June 30, 2023, the Company had borrowings of $179.5 million and a total of $2.9 million of letters of credit outstanding under the Credit Agreement. The Company has capitalized costs associated with debt modifications of $1.3 million as of June 30, 2023, which is included in Other assets on the Condensed Consolidated Balance Sheets and will be amortized into interest expense over the remaining term of the Credit Agreement through July 30, 2027.</w:t>
      </w:r>
    </w:p>
    <w:p>
      <w:pPr>
        <w:spacing w:after="0" w:line="2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of June 30, 2023, the Company was in compliance with the terms of the Credit Agreement. The Company continuously monitors compliance with the covenants contained in its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5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other debt includes bank financing provided at the local subsidiary level used to support working capital requirements and fund capital expenditures. At June 30, 2023, there was an aggregate of approximately $4.2 million outstanding, payable at various times through 2030. Monthly payments range from $1.0 thousand to $16.0 thousand and interest rates range from 0.4% to 3.5%.</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95"/>
        </w:trPr>
        <w:tc>
          <w:tcPr>
            <w:tcW w:w="80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7"/>
                <w:szCs w:val="17"/>
                <w:color w:val="auto"/>
              </w:rPr>
            </w:pPr>
          </w:p>
        </w:tc>
      </w:tr>
      <w:tr>
        <w:trPr>
          <w:trHeight w:val="23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1,831</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Payments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Revaluation</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6"/>
        </w:trPr>
        <w:tc>
          <w:tcPr>
            <w:tcW w:w="80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1"/>
        </w:trPr>
        <w:tc>
          <w:tcPr>
            <w:tcW w:w="8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783"/>
        </w:trPr>
        <w:tc>
          <w:tcPr>
            <w:tcW w:w="8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is periodically involved in lawsuits, investigations and claims that arise in the ordinary course of business. The Company cannot predict with certainty the ultimate resolution of lawsuits, investigations and claims asserted against it. Except for possible losses from the matters described below,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June 30, 2023,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 million of past due receivables were outstanding from this customer. The customer provided the Company with notice in December 2019, alleging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Company’s inspection of 66 welds (out of approximately 16,000 welds inspected) were not in compliance with the contract, claimed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$7.6 million in damages, and requested that the Company pay these damages and any other damages incurred. The Company filed a lawsuit in the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of Bexar County, Texas, 37th Judicial District on December 17, 2019, in an action captioned Mistras Group, Inc. v. Epic Y-Grade Pipeline LP,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recover the $1.4 million and other amounts due to the Company. The customer filed a counterclaim on March 6, 2020, alleging breach of contract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seeking recovery of its alleged damages. On April 25, 2023, the Company settled all claims related to this litigation. In July 2023, the parties executed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 agreement, resulting in a payment by the Company of $0.3 million (paid in July 2023 and which the Company estimates is significantly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cost of going to trial) and a release of its claim for $1.4 million of associated past due receivables which were fully reserved for in prior periods.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2022, the Company recorded a charge of $0.1 million for a potential loss from this matter. The Company recorded a reserve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$1.4 million during the twelve months ended December 31, 2019 for these past due receivables.</w:t>
      </w: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 xml:space="preserve">Two proceedings were filed in California Superior Court for the County of Los Angeles regarding alleged violations of the California Labor Code. Both cases were captioned </w:t>
      </w:r>
      <w:r>
        <w:rPr>
          <w:rFonts w:ascii="Arial" w:cs="Arial" w:eastAsia="Arial" w:hAnsi="Arial"/>
          <w:sz w:val="16"/>
          <w:szCs w:val="16"/>
          <w:i w:val="1"/>
          <w:iCs w:val="1"/>
          <w:color w:val="auto"/>
        </w:rPr>
        <w:t>Justin Price v. Mistras Group, Inc.</w:t>
      </w:r>
      <w:r>
        <w:rPr>
          <w:rFonts w:ascii="Arial" w:cs="Arial" w:eastAsia="Arial" w:hAnsi="Arial"/>
          <w:sz w:val="16"/>
          <w:szCs w:val="16"/>
          <w:color w:val="auto"/>
        </w:rPr>
        <w:t>, one being a purported class action lawsuit on behalf of current and former Mistras employees in California, filed on June 10, 2020, and the other was filed on September 18, 2020, on behalf of the State of California under the California Private Attorney General Act on the basis of the same alleged violations. The two cases were consolidated and requested payment of all damages, including unpaid wages, and various fines and penalties available under California law. On May 4, 2021, the Company agreed to a settlement of all claims in the cases, which was more formally documented pursuant to a settlement agreement completed October 5, 2021, as amended as of May 3, 2022. Pursuant to the settlement, the Company agreed to pay $2.3 million to resolve the allegations in these proceedings and to be responsible for the employer portion of payroll taxes on the amount of the settlement allocated to wages. The settlement as agreed upon by the parties received final court approval on September 26, 2022, and the Company paid the settlement proceeds and related payroll taxes to the claims administrator in the fourth quarter of 2022.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1099185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Certain of Company’s subsidiaries had significant reductions in their unionized workers in 2018. The collective bargaining agreements for the employees of</w:t>
      </w:r>
    </w:p>
    <w:p>
      <w:pPr>
        <w:spacing w:after="0" w:line="73"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these subsidiaries required contributions for these employees to two national multi-employer pension funds. The reduction in employees resulted in the subsidiary incurring a complete withdrawal to one of the pension funds under the Employee Retirement Income Security Act of 1974 ("ERISA"), which</w:t>
      </w:r>
    </w:p>
    <w:p>
      <w:pPr>
        <w:ind w:right="160"/>
        <w:spacing w:after="0" w:line="263" w:lineRule="auto"/>
        <w:rPr>
          <w:sz w:val="20"/>
          <w:szCs w:val="20"/>
          <w:color w:val="auto"/>
        </w:rPr>
      </w:pPr>
      <w:r>
        <w:rPr>
          <w:rFonts w:ascii="Arial" w:cs="Arial" w:eastAsia="Arial" w:hAnsi="Arial"/>
          <w:sz w:val="18"/>
          <w:szCs w:val="18"/>
          <w:color w:val="auto"/>
        </w:rPr>
        <w:t>was fully satisfied in 2019. The Company has determined that the subsidiary is likely to incur partial or complete withdrawal liability to the other pension fund. The balance of the estimated total amount of this potential liability as of June 30, 2023 is approximately $2.5 million, which were incurred in 2018 and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December 2019, the Company executed an agreement to sell the rights of certain customer "staff leasing" contracts related to its German subsidiary for total consideration of approximately $0.1 million, effective January 1, 2020. No other assets or liabilities other than those employee benefits related to employees working on the customer contracts were included in the sale. As of June 30, 2023, the Company has approximately $0.1 million of accrued estimated severance payment obligations, which takes into account the Company’s estimate with respect to the employees that have been or will be transitioned to the German subsidiaries' other customers. The $0.2 million of estimated obligations is net of $0.4 million in payments made and $1.0 million in reversals due to employees being transitioned to customer contracts.</w:t>
      </w:r>
    </w:p>
    <w:p>
      <w:pPr>
        <w:spacing w:after="0" w:line="200" w:lineRule="exact"/>
        <w:rPr>
          <w:sz w:val="20"/>
          <w:szCs w:val="20"/>
          <w:color w:val="auto"/>
        </w:rPr>
      </w:pPr>
    </w:p>
    <w:p>
      <w:pPr>
        <w:spacing w:after="0" w:line="21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900" w:right="80" w:hanging="244"/>
        <w:spacing w:after="0" w:line="259" w:lineRule="auto"/>
        <w:tabs>
          <w:tab w:leader="none" w:pos="9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North America. </w:t>
      </w:r>
      <w:r>
        <w:rPr>
          <w:rFonts w:ascii="Arial" w:cs="Arial" w:eastAsia="Arial" w:hAnsi="Arial"/>
          <w:sz w:val="18"/>
          <w:szCs w:val="18"/>
          <w:color w:val="auto"/>
        </w:rPr>
        <w:t>This segment provides asset protection solutions predominantly in North America, with the largest concentration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86" w:lineRule="exact"/>
        <w:rPr>
          <w:rFonts w:ascii="Arial" w:cs="Arial" w:eastAsia="Arial" w:hAnsi="Arial"/>
          <w:sz w:val="18"/>
          <w:szCs w:val="18"/>
          <w:i w:val="1"/>
          <w:iCs w:val="1"/>
          <w:color w:val="auto"/>
        </w:rPr>
      </w:pPr>
    </w:p>
    <w:p>
      <w:pPr>
        <w:jc w:val="both"/>
        <w:ind w:left="900" w:right="200" w:hanging="244"/>
        <w:spacing w:after="0" w:line="263"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3" w:lineRule="exact"/>
        <w:rPr>
          <w:rFonts w:ascii="Arial" w:cs="Arial" w:eastAsia="Arial" w:hAnsi="Arial"/>
          <w:sz w:val="18"/>
          <w:szCs w:val="18"/>
          <w:color w:val="auto"/>
        </w:rPr>
      </w:pPr>
    </w:p>
    <w:p>
      <w:pPr>
        <w:ind w:left="900" w:right="200" w:hanging="244"/>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accounting policies of the reportable segments are the same as those described in Note 1</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Description of Business and Basis of Presentation</w:t>
      </w:r>
      <w:r>
        <w:rPr>
          <w:rFonts w:ascii="Arial" w:cs="Arial" w:eastAsia="Arial" w:hAnsi="Arial"/>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1062990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tbl>
      <w:tblPr>
        <w:tblLayout w:type="fixed"/>
        <w:tblInd w:w="4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6"/>
          </w:tcPr>
          <w:p>
            <w:pPr>
              <w:jc w:val="right"/>
              <w:ind w:right="593"/>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780" w:type="dxa"/>
            <w:vAlign w:val="bottom"/>
            <w:gridSpan w:val="6"/>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6"/>
                <w:szCs w:val="16"/>
                <w:color w:val="auto"/>
              </w:rPr>
            </w:pPr>
          </w:p>
        </w:tc>
      </w:tr>
      <w:tr>
        <w:trPr>
          <w:trHeight w:val="26"/>
        </w:trPr>
        <w:tc>
          <w:tcPr>
            <w:tcW w:w="4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0"/>
        </w:trPr>
        <w:tc>
          <w:tcPr>
            <w:tcW w:w="48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r>
      <w:tr>
        <w:trPr>
          <w:trHeight w:val="226"/>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145,550</w:t>
            </w:r>
          </w:p>
        </w:tc>
        <w:tc>
          <w:tcPr>
            <w:tcW w:w="50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282,482</w:t>
            </w:r>
          </w:p>
        </w:tc>
        <w:tc>
          <w:tcPr>
            <w:tcW w:w="50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282,474</w:t>
            </w:r>
          </w:p>
        </w:tc>
        <w:tc>
          <w:tcPr>
            <w:tcW w:w="40" w:type="dxa"/>
            <w:vAlign w:val="bottom"/>
          </w:tcPr>
          <w:p>
            <w:pPr>
              <w:spacing w:after="0"/>
              <w:rPr>
                <w:sz w:val="19"/>
                <w:szCs w:val="19"/>
                <w:color w:val="auto"/>
              </w:rPr>
            </w:pPr>
          </w:p>
        </w:tc>
      </w:tr>
      <w:tr>
        <w:trPr>
          <w:trHeight w:val="237"/>
        </w:trPr>
        <w:tc>
          <w:tcPr>
            <w:tcW w:w="48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30,277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29,610</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59,684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57,748</w:t>
            </w:r>
          </w:p>
        </w:tc>
        <w:tc>
          <w:tcPr>
            <w:tcW w:w="40" w:type="dxa"/>
            <w:vAlign w:val="bottom"/>
          </w:tcPr>
          <w:p>
            <w:pPr>
              <w:spacing w:after="0"/>
              <w:rPr>
                <w:sz w:val="20"/>
                <w:szCs w:val="20"/>
                <w:color w:val="auto"/>
              </w:rPr>
            </w:pPr>
          </w:p>
        </w:tc>
      </w:tr>
      <w:tr>
        <w:trPr>
          <w:trHeight w:val="23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40" w:type="dxa"/>
            <w:vAlign w:val="bottom"/>
          </w:tcPr>
          <w:p>
            <w:pPr>
              <w:spacing w:after="0"/>
              <w:rPr>
                <w:sz w:val="20"/>
                <w:szCs w:val="20"/>
                <w:color w:val="auto"/>
              </w:rPr>
            </w:pPr>
          </w:p>
        </w:tc>
      </w:tr>
      <w:tr>
        <w:trPr>
          <w:trHeight w:val="230"/>
        </w:trPr>
        <w:tc>
          <w:tcPr>
            <w:tcW w:w="4820" w:type="dxa"/>
            <w:vAlign w:val="bottom"/>
          </w:tcPr>
          <w:p>
            <w:pPr>
              <w:ind w:left="16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w:t>
            </w:r>
          </w:p>
        </w:tc>
        <w:tc>
          <w:tcPr>
            <w:tcW w:w="40" w:type="dxa"/>
            <w:vAlign w:val="bottom"/>
          </w:tcPr>
          <w:p>
            <w:pPr>
              <w:spacing w:after="0"/>
              <w:rPr>
                <w:sz w:val="19"/>
                <w:szCs w:val="19"/>
                <w:color w:val="auto"/>
              </w:rPr>
            </w:pPr>
          </w:p>
        </w:tc>
      </w:tr>
      <w:tr>
        <w:trPr>
          <w:trHeight w:val="250"/>
        </w:trPr>
        <w:tc>
          <w:tcPr>
            <w:tcW w:w="4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176,030</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179,031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344,046</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340,693</w:t>
            </w:r>
          </w:p>
        </w:tc>
        <w:tc>
          <w:tcPr>
            <w:tcW w:w="4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gridSpan w:val="6"/>
          </w:tcPr>
          <w:p>
            <w:pPr>
              <w:jc w:val="right"/>
              <w:ind w:right="553"/>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24"/>
                <w:szCs w:val="24"/>
                <w:color w:val="auto"/>
              </w:rPr>
            </w:pPr>
          </w:p>
        </w:tc>
        <w:tc>
          <w:tcPr>
            <w:tcW w:w="2780" w:type="dxa"/>
            <w:vAlign w:val="bottom"/>
            <w:gridSpan w:val="6"/>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24"/>
                <w:szCs w:val="24"/>
                <w:color w:val="auto"/>
              </w:rPr>
            </w:pPr>
          </w:p>
        </w:tc>
      </w:tr>
      <w:tr>
        <w:trPr>
          <w:trHeight w:val="26"/>
        </w:trPr>
        <w:tc>
          <w:tcPr>
            <w:tcW w:w="4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9"/>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r>
      <w:tr>
        <w:trPr>
          <w:trHeight w:val="22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6"/>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39,679</w:t>
            </w:r>
          </w:p>
        </w:tc>
        <w:tc>
          <w:tcPr>
            <w:tcW w:w="50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42,954</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76,316</w:t>
            </w:r>
          </w:p>
        </w:tc>
        <w:tc>
          <w:tcPr>
            <w:tcW w:w="50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73,479</w:t>
            </w:r>
          </w:p>
        </w:tc>
        <w:tc>
          <w:tcPr>
            <w:tcW w:w="40" w:type="dxa"/>
            <w:vAlign w:val="bottom"/>
            <w:shd w:val="clear" w:color="auto" w:fill="CCEEFF"/>
          </w:tcPr>
          <w:p>
            <w:pPr>
              <w:spacing w:after="0"/>
              <w:rPr>
                <w:sz w:val="20"/>
                <w:szCs w:val="20"/>
                <w:color w:val="auto"/>
              </w:rPr>
            </w:pPr>
          </w:p>
        </w:tc>
      </w:tr>
      <w:tr>
        <w:trPr>
          <w:trHeight w:val="230"/>
        </w:trPr>
        <w:tc>
          <w:tcPr>
            <w:tcW w:w="48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9,440</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17,630</w:t>
            </w:r>
          </w:p>
        </w:tc>
        <w:tc>
          <w:tcPr>
            <w:tcW w:w="40" w:type="dxa"/>
            <w:vAlign w:val="bottom"/>
          </w:tcPr>
          <w:p>
            <w:pPr>
              <w:spacing w:after="0"/>
              <w:rPr>
                <w:sz w:val="19"/>
                <w:szCs w:val="19"/>
                <w:color w:val="auto"/>
              </w:rPr>
            </w:pPr>
          </w:p>
        </w:tc>
      </w:tr>
      <w:tr>
        <w:trPr>
          <w:trHeight w:val="243"/>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40" w:type="dxa"/>
            <w:vAlign w:val="bottom"/>
            <w:shd w:val="clear" w:color="auto" w:fill="CCEEFF"/>
          </w:tcPr>
          <w:p>
            <w:pPr>
              <w:spacing w:after="0"/>
              <w:rPr>
                <w:sz w:val="21"/>
                <w:szCs w:val="21"/>
                <w:color w:val="auto"/>
              </w:rPr>
            </w:pPr>
          </w:p>
        </w:tc>
      </w:tr>
      <w:tr>
        <w:trPr>
          <w:trHeight w:val="230"/>
        </w:trPr>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tcPr>
          <w:p>
            <w:pPr>
              <w:spacing w:after="0"/>
              <w:rPr>
                <w:sz w:val="19"/>
                <w:szCs w:val="19"/>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95,799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93,450</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6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7"/>
          </w:tcPr>
          <w:p>
            <w:pPr>
              <w:ind w:left="400"/>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0"/>
        </w:trPr>
        <w:tc>
          <w:tcPr>
            <w:tcW w:w="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r>
      <w:tr>
        <w:trPr>
          <w:trHeight w:val="226"/>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960" w:type="dxa"/>
            <w:vAlign w:val="bottom"/>
            <w:gridSpan w:val="2"/>
            <w:shd w:val="clear" w:color="auto" w:fill="CCEEFF"/>
          </w:tcPr>
          <w:p>
            <w:pPr>
              <w:jc w:val="right"/>
              <w:ind w:right="78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12,338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14,855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60" w:type="dxa"/>
            <w:vAlign w:val="bottom"/>
          </w:tcPr>
          <w:p>
            <w:pPr>
              <w:spacing w:after="0"/>
              <w:rPr>
                <w:sz w:val="19"/>
                <w:szCs w:val="19"/>
                <w:color w:val="auto"/>
              </w:rPr>
            </w:pPr>
          </w:p>
        </w:tc>
      </w:tr>
      <w:tr>
        <w:trPr>
          <w:trHeight w:val="237"/>
        </w:trPr>
        <w:tc>
          <w:tcPr>
            <w:tcW w:w="1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1,864</w:t>
            </w:r>
          </w:p>
        </w:tc>
        <w:tc>
          <w:tcPr>
            <w:tcW w:w="60" w:type="dxa"/>
            <w:vAlign w:val="bottom"/>
          </w:tcPr>
          <w:p>
            <w:pPr>
              <w:spacing w:after="0"/>
              <w:rPr>
                <w:sz w:val="20"/>
                <w:szCs w:val="20"/>
                <w:color w:val="auto"/>
              </w:rPr>
            </w:pPr>
          </w:p>
        </w:tc>
      </w:tr>
      <w:tr>
        <w:trPr>
          <w:trHeight w:val="236"/>
        </w:trPr>
        <w:tc>
          <w:tcPr>
            <w:tcW w:w="120" w:type="dxa"/>
            <w:vAlign w:val="bottom"/>
            <w:shd w:val="clear" w:color="auto" w:fill="CCEEFF"/>
          </w:tcPr>
          <w:p>
            <w:pPr>
              <w:spacing w:after="0"/>
              <w:rPr>
                <w:sz w:val="20"/>
                <w:szCs w:val="20"/>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60" w:type="dxa"/>
            <w:vAlign w:val="bottom"/>
          </w:tcPr>
          <w:p>
            <w:pPr>
              <w:spacing w:after="0"/>
              <w:rPr>
                <w:sz w:val="20"/>
                <w:szCs w:val="20"/>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(9,046)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(6,439)</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(14,600)</w:t>
            </w:r>
          </w:p>
        </w:tc>
        <w:tc>
          <w:tcPr>
            <w:tcW w:w="60" w:type="dxa"/>
            <w:vAlign w:val="bottom"/>
          </w:tcPr>
          <w:p>
            <w:pPr>
              <w:spacing w:after="0"/>
              <w:rPr>
                <w:sz w:val="19"/>
                <w:szCs w:val="19"/>
                <w:color w:val="auto"/>
              </w:rPr>
            </w:pPr>
          </w:p>
        </w:tc>
      </w:tr>
      <w:tr>
        <w:trPr>
          <w:trHeight w:val="255"/>
        </w:trPr>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8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60" w:type="dxa"/>
            <w:vAlign w:val="bottom"/>
          </w:tcPr>
          <w:p>
            <w:pPr>
              <w:spacing w:after="0"/>
              <w:rPr>
                <w:sz w:val="21"/>
                <w:szCs w:val="2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6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40" w:type="dxa"/>
            <w:vAlign w:val="bottom"/>
            <w:gridSpan w:val="7"/>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120" w:type="dxa"/>
            <w:vAlign w:val="bottom"/>
          </w:tcPr>
          <w:p>
            <w:pPr>
              <w:spacing w:after="0"/>
              <w:rPr>
                <w:sz w:val="21"/>
                <w:szCs w:val="21"/>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6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60" w:type="dxa"/>
            <w:vAlign w:val="bottom"/>
            <w:tcBorders>
              <w:left w:val="single" w:sz="8" w:color="CCEEFF"/>
            </w:tcBorders>
          </w:tcPr>
          <w:p>
            <w:pPr>
              <w:spacing w:after="0"/>
              <w:rPr>
                <w:sz w:val="21"/>
                <w:szCs w:val="21"/>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3,977</w:t>
            </w:r>
          </w:p>
        </w:tc>
        <w:tc>
          <w:tcPr>
            <w:tcW w:w="6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tcBorders>
              <w:left w:val="single" w:sz="8" w:color="CCEEFF"/>
            </w:tcBorders>
          </w:tcPr>
          <w:p>
            <w:pPr>
              <w:spacing w:after="0"/>
              <w:rPr>
                <w:sz w:val="19"/>
                <w:szCs w:val="19"/>
                <w:color w:val="auto"/>
              </w:rPr>
            </w:pPr>
          </w:p>
        </w:tc>
      </w:tr>
      <w:tr>
        <w:trPr>
          <w:trHeight w:val="243"/>
        </w:trPr>
        <w:tc>
          <w:tcPr>
            <w:tcW w:w="120" w:type="dxa"/>
            <w:vAlign w:val="bottom"/>
          </w:tcPr>
          <w:p>
            <w:pPr>
              <w:spacing w:after="0"/>
              <w:rPr>
                <w:sz w:val="21"/>
                <w:szCs w:val="21"/>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(96)</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21"/>
                <w:szCs w:val="21"/>
                <w:color w:val="auto"/>
              </w:rPr>
            </w:pPr>
          </w:p>
        </w:tc>
      </w:tr>
      <w:tr>
        <w:trPr>
          <w:trHeight w:val="248"/>
        </w:trPr>
        <w:tc>
          <w:tcPr>
            <w:tcW w:w="1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w:t>
            </w:r>
          </w:p>
        </w:tc>
        <w:tc>
          <w:tcPr>
            <w:tcW w:w="60" w:type="dxa"/>
            <w:vAlign w:val="bottom"/>
            <w:tcBorders>
              <w:left w:val="single" w:sz="8" w:color="CCEEFF"/>
            </w:tcBorders>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4"/>
        </w:trPr>
        <w:tc>
          <w:tcPr>
            <w:tcW w:w="1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73"/>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6"/>
        </w:trPr>
        <w:tc>
          <w:tcPr>
            <w:tcW w:w="8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105,751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104,531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534,904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color w:val="auto"/>
        </w:rPr>
        <w:t xml:space="preserve"> for revenue by geographic area for the three and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1236345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Management’s Discussion and Analysis (“MD&amp;A”) provides a discussion of our results of operations and financial position for the three and six months ended June 30, 2023 and 2022.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2022, (“2022 Annual Report”). Unless otherwise specified or the context otherwise requires, “Mistras,” “the Company,” “we,” “us” and “our” refer to Mistras Group, Inc. and its consolidated subsidiaries. The MD&amp;A includes the following sections:</w:t>
      </w:r>
    </w:p>
    <w:p>
      <w:pPr>
        <w:spacing w:after="0" w:line="19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2022 Annual Report as well as those discussed in this Quarterly Report on Form 10-Q and in our other filings with the SEC.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OneSuite™, which serves as an ecosystem platform, pulling together all of the Company’s software and data services capabilities, for the benefit of its customers.</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operations consist of three reportable segments: North America (which we previously referred to as our Services segment), International, and Products and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North America, International, and Products and Systems.</w:t>
      </w:r>
    </w:p>
    <w:p>
      <w:pPr>
        <w:spacing w:after="0" w:line="63" w:lineRule="exact"/>
        <w:rPr>
          <w:sz w:val="20"/>
          <w:szCs w:val="20"/>
          <w:color w:val="auto"/>
        </w:rPr>
      </w:pPr>
    </w:p>
    <w:p>
      <w:pPr>
        <w:ind w:left="660" w:right="140" w:hanging="328"/>
        <w:spacing w:after="0" w:line="249"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North America </w:t>
      </w:r>
      <w:r>
        <w:rPr>
          <w:rFonts w:ascii="Arial" w:cs="Arial" w:eastAsia="Arial" w:hAnsi="Arial"/>
          <w:sz w:val="18"/>
          <w:szCs w:val="18"/>
          <w:color w:val="auto"/>
        </w:rPr>
        <w:t>provides asset protection solutions predominantly in North America, with the largest concentration in the United States, followed</w:t>
      </w:r>
      <w:r>
        <w:rPr>
          <w:rFonts w:ascii="Arial" w:cs="Arial" w:eastAsia="Arial" w:hAnsi="Arial"/>
          <w:sz w:val="18"/>
          <w:szCs w:val="18"/>
          <w:i w:val="1"/>
          <w:iCs w:val="1"/>
          <w:color w:val="auto"/>
        </w:rPr>
        <w:t xml:space="preserve"> </w:t>
      </w:r>
      <w:r>
        <w:rPr>
          <w:rFonts w:ascii="Arial" w:cs="Arial" w:eastAsia="Arial" w:hAnsi="Arial"/>
          <w:sz w:val="18"/>
          <w:szCs w:val="18"/>
          <w:color w:val="auto"/>
        </w:rPr>
        <w:t>by 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18" w:lineRule="exact"/>
        <w:rPr>
          <w:rFonts w:ascii="Arial" w:cs="Arial" w:eastAsia="Arial" w:hAnsi="Arial"/>
          <w:sz w:val="18"/>
          <w:szCs w:val="18"/>
          <w:i w:val="1"/>
          <w:iCs w:val="1"/>
          <w:color w:val="auto"/>
        </w:rPr>
      </w:pPr>
    </w:p>
    <w:p>
      <w:pPr>
        <w:ind w:left="660" w:hanging="328"/>
        <w:spacing w:after="0" w:line="29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ind w:left="660" w:right="7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19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19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1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We have continued providing our customers with an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90 plus applications being offered on one centralized platform.</w:t>
      </w:r>
    </w:p>
    <w:p>
      <w:pPr>
        <w:spacing w:after="0" w:line="1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continued to develop new technologies to provide monitoring of wind blade integrity through our Sensoria™ tool. Sensoria helps provide real-time monitoring and damage detection of wind turbine blades and allows our customers to maximize uptime, performance and safety of wind turbine blades. This tool provides additional growth and expansion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capabilities to serve both new and existing wind turbines and greatly enhances our product offerings within the renewable energy industry.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37" w:lineRule="auto"/>
        <w:rPr>
          <w:sz w:val="20"/>
          <w:szCs w:val="20"/>
          <w:color w:val="auto"/>
        </w:rPr>
      </w:pPr>
      <w:r>
        <w:rPr>
          <w:rFonts w:ascii="Arial" w:cs="Arial" w:eastAsia="Arial" w:hAnsi="Arial"/>
          <w:sz w:val="16"/>
          <w:szCs w:val="16"/>
          <w:color w:val="auto"/>
        </w:rPr>
        <w:t>Issues related to the COVID-19 coronavirus (COVID-19) pandemic have subsided significantly during 2022 and are not impacting our business in any material manner during 2023. The Russian-Ukrainian war is creating disruption in the oil and gas market and the supply chain in general, which is resulting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some disruption to our business operations primarily in Europe due to increased energy costs.</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Earlier in 2022, the Company eliminated substantially all of the COVID related cost reduction initiatives undertaken in 2020, including re-installment of the savings plan employer match and increasing wages back to pre-pandemic amounts. Our cash position and liquidity remains strong. As of June 30, 2023, the cash balance was approximately $18.0 million and our Credit Agreement provides us with significant liquidity.</w:t>
      </w:r>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April 2021, the Biden Administration announced aggressive initiatives to battle climate change, which includes potential plans for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28"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Company’s European operations are currently experiencing higher energy costs, among other increased costs, due in part to the Russian-Ukrainian war. The Company will continue to monitor market conditions and respond accordingly.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prepares its consolidated financial statements in accordance with U.S. GAAP. In this MD&amp;A under the heading "Income (loss) from Operations", the non-GAAP financial performance measure "Income (loss) from operations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1064895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and six months ended June 30, 2023 and 2022 were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92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1"/>
        </w:trPr>
        <w:tc>
          <w:tcPr>
            <w:tcW w:w="44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238"/>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176,030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179,031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344,046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340,693</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49,722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53,558</w:t>
            </w:r>
          </w:p>
        </w:tc>
        <w:tc>
          <w:tcPr>
            <w:tcW w:w="40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95,799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93,450</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Gross profit as a % of Revenue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29.9 %</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8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9,576</w:t>
            </w:r>
          </w:p>
        </w:tc>
        <w:tc>
          <w:tcPr>
            <w:tcW w:w="400" w:type="dxa"/>
            <w:vAlign w:val="bottom"/>
          </w:tcPr>
          <w:p>
            <w:pPr>
              <w:spacing w:after="0"/>
              <w:rPr>
                <w:sz w:val="20"/>
                <w:szCs w:val="20"/>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4,877</w:t>
            </w:r>
          </w:p>
        </w:tc>
      </w:tr>
      <w:tr>
        <w:trPr>
          <w:trHeight w:val="234"/>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Income from Operations as a % of Revenue</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5.3 %</w:t>
            </w: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(benefit) for income taxes</w:t>
            </w:r>
          </w:p>
        </w:tc>
        <w:tc>
          <w:tcPr>
            <w:tcW w:w="3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7,459</w:t>
            </w:r>
          </w:p>
        </w:tc>
        <w:tc>
          <w:tcPr>
            <w:tcW w:w="40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822</w:t>
            </w: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4,666</w:t>
            </w: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(687)</w:t>
            </w:r>
          </w:p>
        </w:tc>
      </w:tr>
      <w:tr>
        <w:trPr>
          <w:trHeight w:val="234"/>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337</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4,643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(4,649)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(720)</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was $176.0 million for the three months ended June 30, 2023, a decrease of $3.0 million, or 1.7%, compared with the three months ended June 30, 2022. Revenue for the six months ended June 30, 2023 was $344.0 million, an increase of $3.4 million, or 1.0%, compared with the six months ended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 for the three and six months ended June 30, 2023 and 2022 was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26"/>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282,482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282,474</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29,610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57,748</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r>
      <w:tr>
        <w:trPr>
          <w:trHeight w:val="243"/>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w:t>
            </w: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340,693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the three months ended June 30, 2023, total revenue decreased (1.7)% versus the prior year comparable period due predominantly to decreased sales volume as compared to the prior period. North America segment revenue decreased 2.7% due to decreases in sales volume in our oil and gas and aerospace and defense end markets. International segment revenue increased 2.3%, due predominantly to low single-digit organic growth and low single-digit favorable foreign exchange rates impact. Products and Systems segment revenue increased 25.5%, due to increased sales volume as compared to the prior period.</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Oil and gas customer revenue comprised approximately 60% and 57% of total revenue for the three months ended June 30, 2023 and 2022, respectively. Aerospace and defense customer revenue comprised approximately 11% and 13% of total revenue for the three months ended June 30, 2023 and 2022, respectively. The Company’s top ten customers comprised approximately 36% of total revenue for the three months ended June 30, 2023, as compared to 33% for the three months ended June 30, 2022, with no customer accounting for 10% or more of total revenue in either three-month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1099185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3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the six months ended June 30, 2023, total revenue increased 1.0% versus the comparable prior period. The increase was due to organic growth in our core business, partially offset by an unfavorable revenue impact from foreign exchange rates. Our North America segment revenue was flat versus the prior year. International segment revenue increased 3.4% due to mid single-digit organic growth offset by low single-digit unfavorable revenue impact from foreign exchange rates. Products and Systems segment revenue increased by 26.5% due to increased sales volume as compared to the prior period.</w:t>
      </w:r>
    </w:p>
    <w:p>
      <w:pPr>
        <w:spacing w:after="0" w:line="196"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Oil and gas customer revenue comprised approximately 60% and 57% of total revenue for the six months ended June 30, 2023 and 2022, respectively. Aerospace and defense customer revenue comprised approximately 11% and 12% of total revenue for the six months ended June 30, 2023 and 2022, respectively. The Company’s top ten customers comprised approximately 35% of total revenue for the six months ended June 30, 2023, as compared to 33% for the six months ended June 30, 2022, with no customer accounting for 10% or more of total revenue in either six-month period.</w:t>
      </w:r>
    </w:p>
    <w:p>
      <w:pPr>
        <w:spacing w:after="0" w:line="184"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The Company has retrospectively reclassified certain Oil and Gas sub-category revenues for each quarterly period in 2022 in order to conform the classification with the current year presentation. Total Oil and Gas sub-category revenues were unchanged in total in each quarterly period and for the full year ended December 31, 2022. The table below presents the reclassified balances for each quarterly period in the prior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7"/>
          </w:tcPr>
          <w:p>
            <w:pPr>
              <w:jc w:val="right"/>
              <w:ind w:right="210"/>
              <w:spacing w:after="0"/>
              <w:rPr>
                <w:sz w:val="20"/>
                <w:szCs w:val="20"/>
                <w:color w:val="auto"/>
              </w:rPr>
            </w:pPr>
            <w:r>
              <w:rPr>
                <w:rFonts w:ascii="Arial" w:cs="Arial" w:eastAsia="Arial" w:hAnsi="Arial"/>
                <w:sz w:val="14"/>
                <w:szCs w:val="14"/>
                <w:b w:val="1"/>
                <w:bCs w:val="1"/>
                <w:color w:val="auto"/>
                <w:w w:val="98"/>
              </w:rPr>
              <w:t>2022 Quarterly Revenues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1780" w:type="dxa"/>
            <w:vAlign w:val="bottom"/>
            <w:tcBorders>
              <w:top w:val="single" w:sz="8" w:color="auto"/>
            </w:tcBorders>
            <w:gridSpan w:val="3"/>
          </w:tcPr>
          <w:p>
            <w:pPr>
              <w:ind w:left="40"/>
              <w:spacing w:after="0" w:line="139" w:lineRule="exact"/>
              <w:rPr>
                <w:sz w:val="20"/>
                <w:szCs w:val="20"/>
                <w:color w:val="auto"/>
              </w:rPr>
            </w:pPr>
            <w:r>
              <w:rPr>
                <w:rFonts w:ascii="Arial" w:cs="Arial" w:eastAsia="Arial" w:hAnsi="Arial"/>
                <w:sz w:val="14"/>
                <w:szCs w:val="14"/>
                <w:b w:val="1"/>
                <w:bCs w:val="1"/>
                <w:color w:val="auto"/>
                <w:w w:val="94"/>
              </w:rPr>
              <w:t>Three months ended March</w:t>
            </w:r>
          </w:p>
        </w:tc>
        <w:tc>
          <w:tcPr>
            <w:tcW w:w="1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1"/>
              </w:rPr>
              <w:t>Three months ended June 30,</w:t>
            </w:r>
          </w:p>
        </w:tc>
        <w:tc>
          <w:tcPr>
            <w:tcW w:w="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center"/>
              <w:spacing w:after="0" w:line="139" w:lineRule="exact"/>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ind w:left="20"/>
              <w:spacing w:after="0" w:line="139"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31,</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Oil and Gas Revenue by sub-category</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Upstream</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36,397</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35,173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140"/>
              <w:spacing w:after="0"/>
              <w:rPr>
                <w:sz w:val="20"/>
                <w:szCs w:val="20"/>
                <w:color w:val="auto"/>
              </w:rPr>
            </w:pPr>
            <w:r>
              <w:rPr>
                <w:rFonts w:ascii="Arial" w:cs="Arial" w:eastAsia="Arial" w:hAnsi="Arial"/>
                <w:sz w:val="18"/>
                <w:szCs w:val="18"/>
                <w:color w:val="auto"/>
              </w:rPr>
              <w:t>Midstream</w:t>
            </w:r>
          </w:p>
        </w:tc>
        <w:tc>
          <w:tcPr>
            <w:tcW w:w="4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20,427</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27,153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Arial" w:cs="Arial" w:eastAsia="Arial" w:hAnsi="Arial"/>
                <w:sz w:val="18"/>
                <w:szCs w:val="18"/>
                <w:color w:val="auto"/>
                <w:w w:val="98"/>
              </w:rPr>
              <w:t>25,885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Downstream</w:t>
            </w:r>
          </w:p>
        </w:tc>
        <w:tc>
          <w:tcPr>
            <w:tcW w:w="4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37,399</w:t>
            </w:r>
          </w:p>
        </w:tc>
        <w:tc>
          <w:tcPr>
            <w:tcW w:w="1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36,061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35,973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35,258</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94,223</w:t>
            </w:r>
          </w:p>
        </w:tc>
        <w:tc>
          <w:tcPr>
            <w:tcW w:w="120" w:type="dxa"/>
            <w:vAlign w:val="bottom"/>
          </w:tcPr>
          <w:p>
            <w:pPr>
              <w:spacing w:after="0"/>
              <w:rPr>
                <w:sz w:val="19"/>
                <w:szCs w:val="19"/>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101,265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97,031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95,233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5"/>
        </w:trPr>
        <w:tc>
          <w:tcPr>
            <w:tcW w:w="3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4"/>
          </w:tcPr>
          <w:p>
            <w:pPr>
              <w:ind w:left="100"/>
              <w:spacing w:after="0"/>
              <w:rPr>
                <w:sz w:val="20"/>
                <w:szCs w:val="20"/>
                <w:color w:val="auto"/>
              </w:rPr>
            </w:pPr>
            <w:r>
              <w:rPr>
                <w:rFonts w:ascii="Arial" w:cs="Arial" w:eastAsia="Arial" w:hAnsi="Arial"/>
                <w:sz w:val="14"/>
                <w:szCs w:val="14"/>
                <w:b w:val="1"/>
                <w:bCs w:val="1"/>
                <w:color w:val="auto"/>
                <w:w w:val="90"/>
              </w:rPr>
              <w:t>Three months ended June 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7"/>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2023</w:t>
            </w:r>
          </w:p>
        </w:tc>
        <w:tc>
          <w:tcPr>
            <w:tcW w:w="10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Oil and Gas Revenue by sub-category</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Upstream</w:t>
            </w:r>
          </w:p>
        </w:tc>
        <w:tc>
          <w:tcPr>
            <w:tcW w:w="4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41,961</w:t>
            </w:r>
          </w:p>
        </w:tc>
        <w:tc>
          <w:tcPr>
            <w:tcW w:w="90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38,051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78,900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Midstream</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2"/>
              <w:spacing w:after="0"/>
              <w:rPr>
                <w:sz w:val="20"/>
                <w:szCs w:val="20"/>
                <w:color w:val="auto"/>
              </w:rPr>
            </w:pPr>
            <w:r>
              <w:rPr>
                <w:rFonts w:ascii="Arial" w:cs="Arial" w:eastAsia="Arial" w:hAnsi="Arial"/>
                <w:sz w:val="18"/>
                <w:szCs w:val="18"/>
                <w:color w:val="auto"/>
              </w:rPr>
              <w:t>27,293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27,153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48,524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Downstream</w:t>
            </w: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36,870</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36,061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77,365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106,124</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101,265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204,789</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Oil and gas upstream customer revenue increased approximately $4.5 million, or 6%, for the six months ended June 30, 2023 as compared to the six months ended June 30, 2022, and $3.9 million, or 10% for the three months ended June 30, 2023 as compared to the three months ended June 30, 2022 due to increased exploration operations and market share gains compared to the prior period.</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Midstream customer revenues increased approximately $0.9 million, or 2%, for the six months ended June 30, 2023 as compared to the six months ended June 30, 2022, and $0.1 million, or 1% for the three months ended June 30, 2023 as compared to the three months ended June 30, 2022 due to comparable pipe inspection services performed in both years.</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Downstream customer revenue increased $3.9 million, or 5%, for the six months ended June 30, 2023 as compared to the six months ended June 30, 2022, and $0.8 million, or 2% for the three months ended June 30, 2023 as compared to the three months ended June 30, 2022 due to increased sales volume at customer refineries and increased customer turnarounds.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0"/>
        </w:trPr>
        <w:tc>
          <w:tcPr>
            <w:tcW w:w="46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r>
      <w:tr>
        <w:trPr>
          <w:trHeight w:val="226"/>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Revenue by type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Field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121,364</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225,784</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226,859</w:t>
            </w: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Shop Laboratories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23,005</w:t>
            </w:r>
          </w:p>
        </w:tc>
      </w:tr>
      <w:tr>
        <w:trPr>
          <w:trHeight w:val="243"/>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Data Solutions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28,635</w:t>
            </w:r>
          </w:p>
        </w:tc>
      </w:tr>
      <w:tr>
        <w:trPr>
          <w:trHeight w:val="229"/>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62,194</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179,031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344,046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340,693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Field Services revenues are comprised of revenue derived primarily by technicians performing asset inspections and maintenance services for our customers at locations other than Mistras properties. Field Services revenue decreased by $1.1 million for the six months ended June 30, 2023 as compared to the six months ended June 30, 2022, and $5.3 million, for the three months ended June 30, 2023 as compared to the three months ended June 30, 2022. The decrease in both periods was due to decreased sales volume related to a delayed defense contract and decreased revenues in our power generation end market for our North America and International segments.</w:t>
      </w:r>
    </w:p>
    <w:p>
      <w:pPr>
        <w:spacing w:after="0" w:line="22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Shop Laboratory revenues are comprised of quality assurance inspections of components and materials at our Mistras in house laboratory facilities. Shop revenues increased by $4.4 million for the six months ended June 30, 2023 as compared to the six months ended June 30, 2022, and $4.3 million, for the three months ended June 30, 2023 as compared to the three months ended June 30, 2022. Shop revenues increased in both periods as compared to the prior year quarter due to increased sales volume related to our commercial aerospace and industrials end markets.</w:t>
      </w:r>
    </w:p>
    <w:p>
      <w:pPr>
        <w:spacing w:after="0" w:line="19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Data Solutions revenues are comprised of revenue derived from data software sales &amp; subscriptions, implementation services and analytics that offer insights and recommendations to improve asset integrity. Data Solutions revenue is derived from work performed by Mistras employees in our facilities, or at customer locations, using our propriety portfolio of software applications. Data Solutions revenue increased by $6.3 million for the six months ended June 30, 2023 as compared to the six months ended June 30, 2022, and $1.9 million, for the three months ended June 30, 2023 as compared to the three months ended June 30, 2022 due primarily to increased sales volume within PCMS, Onstream and other Data Solutions offerings within our North America segment.</w:t>
      </w:r>
    </w:p>
    <w:p>
      <w:pPr>
        <w:spacing w:after="0" w:line="212"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Other revenues are comprised of locations that perform both asset inspection services and testing of components and materials at in house Mistras laboratories. Other revenues decreased by $6.2 million for the six months ended June 30, 2023 as compared to the six months ended June 30, 2022, and $3.9 million, for the three months ended June 30, 2023 as compared to the three months ended June 30, 2022. Other revenues decreased primarily due to decreased sales within the aerospace and defense sector within the North America and International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Gross profit decreased by $(3.8) million, or (7.2)%, in the three months ended June 30, 2023 versus the prior year comparable period, on a decrease in revenue of (1.7)%.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$2.3 million, or 2.5%, in the six months ended June 30, 2023 on an increase in revenue of 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six months ended June 30, 2023 and 2022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(tabular dollars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1424940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0"/>
        </w:trPr>
        <w:tc>
          <w:tcPr>
            <w:tcW w:w="44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22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5"/>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39,679</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42,954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76,316</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73,479</w:t>
            </w:r>
          </w:p>
        </w:tc>
      </w:tr>
      <w:tr>
        <w:trPr>
          <w:trHeight w:val="230"/>
        </w:trPr>
        <w:tc>
          <w:tcPr>
            <w:tcW w:w="448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27.3 %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28.7 %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27.0 %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26.0 %</w:t>
            </w:r>
          </w:p>
        </w:tc>
      </w:tr>
      <w:tr>
        <w:trPr>
          <w:trHeight w:val="243"/>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8,398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9,440</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15,766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17,630</w:t>
            </w:r>
          </w:p>
        </w:tc>
      </w:tr>
      <w:tr>
        <w:trPr>
          <w:trHeight w:val="230"/>
        </w:trPr>
        <w:tc>
          <w:tcPr>
            <w:tcW w:w="448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27.7 %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31.9 %</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26.4 %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30.5 %</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1,157</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2,325</w:t>
            </w:r>
          </w:p>
        </w:tc>
      </w:tr>
      <w:tr>
        <w:trPr>
          <w:trHeight w:val="237"/>
        </w:trPr>
        <w:tc>
          <w:tcPr>
            <w:tcW w:w="448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48.5 %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43.6 %</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52.0 %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41.6 %</w:t>
            </w:r>
          </w:p>
        </w:tc>
      </w:tr>
      <w:tr>
        <w:trPr>
          <w:trHeight w:val="236"/>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r>
      <w:tr>
        <w:trPr>
          <w:trHeight w:val="223"/>
        </w:trPr>
        <w:tc>
          <w:tcPr>
            <w:tcW w:w="44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49,722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53,558</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95,799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93,450</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 of total revenue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28.2 %</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29.9 %</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27.8 %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27.4 %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Gross profit margin was 28.2% and 29.9% for the three-month periods ended June 30, 2023 and 2022, respectively. North America segment realized a decline of (1.4)% in gross profit margin to 27.3% during the three months ended June 30, 2023. This was primarily due to unabsorbed overhead costs associated with lower revenues, as compared to the prior year period. International segment realized a decline of (4.2)% in gross profit margin to 27.7% during the three months ended June 30, 2023 due primarily to increased inflationary costs as compared to the prior year period. Products and Systems segment gross margin realized an increase of 4.9% to 48.5% during the three months ended June, 2023 due to favorable sales mix.</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Gross profit margin was 27.8% and 27.4% for the six months ended June 30, 2023 and 2022, respectively. Gross profit margin increased due to favorable sales mix.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three and six months ended June 30, 2023 and 2022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0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4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432"/>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41,484</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40,856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84,305</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82,777</w:t>
            </w: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w w:val="91"/>
              </w:rPr>
              <w:t>Bad debt provision for troubled customers, net of recoveries</w:t>
            </w: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289</w:t>
            </w: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289</w:t>
            </w:r>
          </w:p>
        </w:tc>
      </w:tr>
      <w:tr>
        <w:trPr>
          <w:trHeight w:val="230"/>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w:t>
            </w:r>
          </w:p>
        </w:tc>
      </w:tr>
      <w:tr>
        <w:trPr>
          <w:trHeight w:val="237"/>
        </w:trPr>
        <w:tc>
          <w:tcPr>
            <w:tcW w:w="4540" w:type="dxa"/>
            <w:vAlign w:val="bottom"/>
          </w:tcPr>
          <w:p>
            <w:pPr>
              <w:ind w:left="140"/>
              <w:spacing w:after="0"/>
              <w:rPr>
                <w:sz w:val="20"/>
                <w:szCs w:val="20"/>
                <w:color w:val="auto"/>
              </w:rPr>
            </w:pPr>
            <w:r>
              <w:rPr>
                <w:rFonts w:ascii="Arial" w:cs="Arial" w:eastAsia="Arial" w:hAnsi="Arial"/>
                <w:sz w:val="18"/>
                <w:szCs w:val="18"/>
                <w:color w:val="auto"/>
              </w:rPr>
              <w:t>Research and engineering</w:t>
            </w:r>
          </w:p>
        </w:tc>
        <w:tc>
          <w:tcPr>
            <w:tcW w:w="380" w:type="dxa"/>
            <w:vAlign w:val="bottom"/>
          </w:tcPr>
          <w:p>
            <w:pPr>
              <w:spacing w:after="0"/>
              <w:rPr>
                <w:sz w:val="20"/>
                <w:szCs w:val="20"/>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522</w:t>
            </w:r>
          </w:p>
        </w:tc>
        <w:tc>
          <w:tcPr>
            <w:tcW w:w="380" w:type="dxa"/>
            <w:vAlign w:val="bottom"/>
          </w:tcPr>
          <w:p>
            <w:pPr>
              <w:spacing w:after="0"/>
              <w:rPr>
                <w:sz w:val="20"/>
                <w:szCs w:val="20"/>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1,073</w:t>
            </w:r>
          </w:p>
        </w:tc>
      </w:tr>
      <w:tr>
        <w:trPr>
          <w:trHeight w:val="236"/>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2,635</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4,969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5,430</w:t>
            </w:r>
          </w:p>
        </w:tc>
      </w:tr>
      <w:tr>
        <w:trPr>
          <w:trHeight w:val="229"/>
        </w:trPr>
        <w:tc>
          <w:tcPr>
            <w:tcW w:w="454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(994)</w:t>
            </w:r>
          </w:p>
        </w:tc>
      </w:tr>
      <w:tr>
        <w:trPr>
          <w:trHeight w:val="243"/>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63</w:t>
            </w:r>
          </w:p>
        </w:tc>
      </w:tr>
      <w:tr>
        <w:trPr>
          <w:trHeight w:val="223"/>
        </w:trPr>
        <w:tc>
          <w:tcPr>
            <w:tcW w:w="45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45,829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43,982</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93,734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88,573</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total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24.6 %</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27.2 %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26.0 %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Total operating expenses increased $1.8 million for the three months ended June 30, 2023 compared to the three months ended June 30, 2022. Selling, general and administrative expenses increased $0.6 million during the three months ended June 30, 2023 compared to the three months ended June 30, 2022, due to unfavorable foreign currency exchange. Depreciation and amortization decreased $(0.2) million during the three months ended June 30, 2023 compared to the three months ended June 30, 2022. During the three months ended June 30, 2023, $1.2 million of reorganization and other related costs were incurred, compared to the prior period due to the Company's on-going efficiency and productivity initiatives.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expenses increased $5.2 million, for the six months ended June 30, 2023 compared to the six months ended June 30, 2022. Selling, general, and administrative expenses increased $1.5 million during the six months ended June 30, 2023 compared to the six months ended June 30, 2022 primarily due to unfavorable foreign currency exchange and increased inflationary costs. Reorganization and other costs for the six months ended June 30, 2023 compared to the six months ended June 30, 2022 increased $3.4 million due to professional fees and restructuring charges associated with changes in the Company's organizational structure. Depreciation and amortization decreased $(0.5) million during the six months ended June 30, 2023 compared to 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1086485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reconciliation of the income (loss) from operations to income (loss) before special items for each of our three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and Eliminations and the Company in total: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25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w:t>
            </w:r>
          </w:p>
        </w:tc>
        <w:tc>
          <w:tcPr>
            <w:tcW w:w="9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Income from operations (GAAP)</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12,338</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14,855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21,715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Bad debt provision for troubled customers, net of</w:t>
            </w:r>
          </w:p>
        </w:tc>
        <w:tc>
          <w:tcPr>
            <w:tcW w:w="9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recoveries</w:t>
            </w:r>
          </w:p>
        </w:tc>
        <w:tc>
          <w:tcPr>
            <w:tcW w:w="94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net</w:t>
            </w: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56"/>
        </w:trPr>
        <w:tc>
          <w:tcPr>
            <w:tcW w:w="42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Income from operations before special items (non-</w:t>
            </w:r>
          </w:p>
        </w:tc>
        <w:tc>
          <w:tcPr>
            <w:tcW w:w="940" w:type="dxa"/>
            <w:vAlign w:val="bottom"/>
            <w:vMerge w:val="restart"/>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12,966</w:t>
            </w:r>
          </w:p>
        </w:tc>
        <w:tc>
          <w:tcPr>
            <w:tcW w:w="1040" w:type="dxa"/>
            <w:vAlign w:val="bottom"/>
            <w:gridSpan w:val="2"/>
            <w:vMerge w:val="restart"/>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15,145</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22,404</w:t>
            </w:r>
          </w:p>
        </w:tc>
        <w:tc>
          <w:tcPr>
            <w:tcW w:w="48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GAAP)</w:t>
            </w:r>
          </w:p>
        </w:tc>
        <w:tc>
          <w:tcPr>
            <w:tcW w:w="94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420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rPr>
              <w:t>Income from operations before special items (non-</w:t>
            </w:r>
          </w:p>
        </w:tc>
        <w:tc>
          <w:tcPr>
            <w:tcW w:w="940" w:type="dxa"/>
            <w:vAlign w:val="bottom"/>
            <w:vMerge w:val="restart"/>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40" w:type="dxa"/>
            <w:vAlign w:val="bottom"/>
            <w:gridSpan w:val="2"/>
            <w:vMerge w:val="restart"/>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8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GAAP)</w:t>
            </w:r>
          </w:p>
        </w:tc>
        <w:tc>
          <w:tcPr>
            <w:tcW w:w="94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Income (loss) from operations (GAAP)</w:t>
            </w:r>
          </w:p>
        </w:tc>
        <w:tc>
          <w:tcPr>
            <w:tcW w:w="940" w:type="dxa"/>
            <w:vAlign w:val="bottom"/>
            <w:tcBorders>
              <w:top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140"/>
              <w:spacing w:after="0"/>
              <w:rPr>
                <w:sz w:val="20"/>
                <w:szCs w:val="20"/>
                <w:color w:val="auto"/>
              </w:rPr>
            </w:pPr>
            <w:r>
              <w:rPr>
                <w:rFonts w:ascii="Arial" w:cs="Arial" w:eastAsia="Arial" w:hAnsi="Arial"/>
                <w:sz w:val="18"/>
                <w:szCs w:val="18"/>
                <w:color w:val="auto"/>
              </w:rPr>
              <w:t>Loss from operations (GAAP)</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(9,046)</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(6,439)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(20,067)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(14,600)</w:t>
            </w: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Acquisition-related expense, net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w w:val="92"/>
              </w:rPr>
              <w:t>Loss from operations before special items (non-GAAP)</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(8,371)</w:t>
            </w:r>
          </w:p>
        </w:tc>
        <w:tc>
          <w:tcPr>
            <w:tcW w:w="100" w:type="dxa"/>
            <w:vAlign w:val="bottom"/>
          </w:tcPr>
          <w:p>
            <w:pPr>
              <w:spacing w:after="0"/>
              <w:rPr>
                <w:sz w:val="19"/>
                <w:szCs w:val="19"/>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(6,573)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(17,482)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(14,729)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140"/>
              <w:spacing w:after="0"/>
              <w:rPr>
                <w:sz w:val="20"/>
                <w:szCs w:val="20"/>
                <w:color w:val="auto"/>
              </w:rPr>
            </w:pPr>
            <w:r>
              <w:rPr>
                <w:rFonts w:ascii="Arial" w:cs="Arial" w:eastAsia="Arial" w:hAnsi="Arial"/>
                <w:sz w:val="18"/>
                <w:szCs w:val="18"/>
                <w:color w:val="auto"/>
              </w:rPr>
              <w:t>Income from operations (GAAP)</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3,893</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9,576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2,065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182"/>
        </w:trPr>
        <w:tc>
          <w:tcPr>
            <w:tcW w:w="420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Bad debt provision for troubled customers, net of</w:t>
            </w:r>
          </w:p>
        </w:tc>
        <w:tc>
          <w:tcPr>
            <w:tcW w:w="9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recoveries</w:t>
            </w:r>
          </w:p>
        </w:tc>
        <w:tc>
          <w:tcPr>
            <w:tcW w:w="9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Acquisition-related expense, net</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69"/>
        </w:trPr>
        <w:tc>
          <w:tcPr>
            <w:tcW w:w="420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rPr>
              <w:t>Income from operations before special items (non-</w:t>
            </w:r>
          </w:p>
        </w:tc>
        <w:tc>
          <w:tcPr>
            <w:tcW w:w="940" w:type="dxa"/>
            <w:vAlign w:val="bottom"/>
            <w:vMerge w:val="restart"/>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040" w:type="dxa"/>
            <w:vAlign w:val="bottom"/>
            <w:gridSpan w:val="2"/>
            <w:vMerge w:val="restart"/>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48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GAAP)</w:t>
            </w:r>
          </w:p>
        </w:tc>
        <w:tc>
          <w:tcPr>
            <w:tcW w:w="94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section </w:t>
      </w:r>
      <w:r>
        <w:rPr>
          <w:rFonts w:ascii="Arial" w:cs="Arial" w:eastAsia="Arial" w:hAnsi="Arial"/>
          <w:sz w:val="18"/>
          <w:szCs w:val="18"/>
          <w:b w:val="1"/>
          <w:bCs w:val="1"/>
          <w:i w:val="1"/>
          <w:iCs w:val="1"/>
          <w:color w:val="auto"/>
        </w:rPr>
        <w:t>Note About Non-GAAP Measures</w:t>
      </w:r>
      <w:r>
        <w:rPr>
          <w:rFonts w:ascii="Arial" w:cs="Arial" w:eastAsia="Arial" w:hAnsi="Arial"/>
          <w:sz w:val="18"/>
          <w:szCs w:val="18"/>
          <w:color w:val="auto"/>
        </w:rPr>
        <w:t xml:space="preserve"> in this report for an explanation of the use of non-GAAP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three months ended June 30, 2023, income from operations (GAAP) decreased $(5.7) million, compared with the three months ended June 30, 2022, while income before special items (non-GAAP) decreased $(4.3) million. As a percentage of revenue, income before special items decreased by 230 basis points to 3.0% in the three months ended June 30, 2023 from 5.3% in the three months ended June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3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For the six months ended June 30, 2023, income from operations (GAAP) decreased $(2.8) million, compared with the six months ended June 30, 2022, while income from operations before special items (non-GAAP) increased $1.4 million. As a percentage of revenue, income from operations before special items increased by 40 basis points to 1.6% in the six months ended June 30, 2023 from 1.2% in the six months ended June 30, 2022. During the six months ended June 30, 2023, the Company experienced overall organic growth offset by foreign currency headwinds.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1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Interest expense was approximately $3.9 million and $2.1 million for the three months ended June 30, 2023 and 2022, respectively. Interest expense was approximately $7.9 million and $4.1 million for the six months ended June 30, 2023 and 2022, respectively. The increase in the three months ended June 30, 2023 was due to an increase in interest rates compared to the prior year quarter. The increase in interest expense for the six months ended June 30, 2023 compared to the prior year period was due to an increase in the interest rates, partially offset by a decrease in outstanding borrowings.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Our effective income tax rate was approximately (974.3)% and 37.4% for the three months ended June 30, 2023 and 2022, respectively. Our effective income tax rate was approximately 21.5% and 183.6% for the six months ended June 30, 2023 and 2022, respectively.</w:t>
      </w:r>
    </w:p>
    <w:p>
      <w:pPr>
        <w:spacing w:after="0" w:line="17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effective income tax rate for the three months ended June 30, 2023 was lower than the statutory rate primarily due to the impact of a favorable discrete item related to stock compensation. The effective income tax rate for the three months ended June 30, 2022 was higher than the statutory rate primarily due to a $0.7 million valuation allowance recorded on a foreign jurisdiction.</w:t>
      </w:r>
    </w:p>
    <w:p>
      <w:pPr>
        <w:spacing w:after="0" w:line="20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effective income tax rate for the six months ended June 30, 2023 was lower than the statutory rate due primarily to an unfavorable discrete item related to stock compensation. The effective income tax rate for the six months ended June 30, 2022 was higher than the statutory rate due primarily to a $0.7 million valuation allowance recorded during the period which was related to a foreign jurisdiction.</w:t>
      </w:r>
    </w:p>
    <w:p>
      <w:pPr>
        <w:spacing w:after="0" w:line="22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1210310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0"/>
        </w:trPr>
        <w:tc>
          <w:tcPr>
            <w:tcW w:w="80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6"/>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88"/>
              </w:rPr>
              <w:t>7,809</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center"/>
              <w:ind w:left="513"/>
              <w:spacing w:after="0"/>
              <w:rPr>
                <w:sz w:val="20"/>
                <w:szCs w:val="20"/>
                <w:color w:val="auto"/>
              </w:rPr>
            </w:pPr>
            <w:r>
              <w:rPr>
                <w:rFonts w:ascii="Arial" w:cs="Arial" w:eastAsia="Arial" w:hAnsi="Arial"/>
                <w:sz w:val="18"/>
                <w:szCs w:val="18"/>
                <w:color w:val="auto"/>
                <w:w w:val="91"/>
              </w:rPr>
              <w:t>(6,499)</w:t>
            </w: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91"/>
              </w:rPr>
              <w:t>(5,056)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w w:val="91"/>
              </w:rPr>
              <w:t>(1,755)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513"/>
              <w:spacing w:after="0"/>
              <w:rPr>
                <w:sz w:val="20"/>
                <w:szCs w:val="20"/>
                <w:color w:val="auto"/>
              </w:rPr>
            </w:pPr>
            <w:r>
              <w:rPr>
                <w:rFonts w:ascii="Arial" w:cs="Arial" w:eastAsia="Arial" w:hAnsi="Arial"/>
                <w:sz w:val="18"/>
                <w:szCs w:val="18"/>
                <w:color w:val="auto"/>
                <w:w w:val="91"/>
              </w:rPr>
              <w:t>(5,501)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During the six months ended June 30, 2023, cash provided by operating activities was $18.3 million, representing a year-on-year increase of $10.5 million, or 135%. The increase was primarily attributable to improved days sales outstanding in the current 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the six months ended June 30, 2023, cash used in investing activities was $9.8 million, compared to $6.5 million net cash used in investing activities for the six months ended June 30, 2022. The change was primarily attributable to capital expenditures related to property, plant and equipment during the current period as compared to the prior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Net cash used in financing activities was $11.2 million for the six months ended June 30, 2023, compared to net cash used in financing activities of $5.1 million for the six months ended June 30, 2022. During the six months ended June 30, 2023, net repayments of debt were approximately $6.3 million higher as compared to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effect of exchange rate changes on our cash and cash equivalents was an increase of $0.2 million in the six months ended June 30, 2023, compared to a decrease of $(1.8) million for the six months ended June 30, 2022. The primary driver of the change was foreign currency fluctuations related to the Euro and the US Dollar.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As of June 30, 2023, we had cash and cash equivalents totaling $18.0 million and $124.8 million of unused commitments under our Credit Agreement with borrowings of $179.5 million and $2.9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June 30, 2023, we were in compliance with the terms of the Credit Agreement and will continuously monitor our compliance with the covenants contained in the Credit Agreement.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terms of our Credit Agreement are described in Note 12-</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xml:space="preserve"> of the Notes to the Unaudited Condensed Consolidated Financial Statements, under the heading "</w:t>
      </w:r>
      <w:r>
        <w:rPr>
          <w:rFonts w:ascii="Arial" w:cs="Arial" w:eastAsia="Arial" w:hAnsi="Arial"/>
          <w:sz w:val="18"/>
          <w:szCs w:val="18"/>
          <w:i w:val="1"/>
          <w:iCs w:val="1"/>
          <w:color w:val="auto"/>
        </w:rPr>
        <w:t>Senior Credit Facility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significant increases in our contractual obligations and outstanding indebtedness as disclosed in the 2022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six months ended June 30, 2023,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2022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significant changes to our quantitative and qualitative disclosures about market risk as discussed in Part II, Item 7A “Quantitative and Qualitative Disclosures About Market Risk,” included in the 2022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June 30, 2023, our disclosure controls and procedures were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2023 that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1228725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2022 Annual Report, except as disclosed in such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discussed under the “Risk Factors” section included in our 2022 Annual Report. Except as described below, there have been no material changes to the risk factors previously disclosed in the 2022 Annual Report.</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620" w:hanging="652"/>
        <w:spacing w:after="0" w:line="500" w:lineRule="auto"/>
        <w:tabs>
          <w:tab w:leader="none" w:pos="267"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660" w:right="6800" w:hanging="652"/>
        <w:spacing w:after="0" w:line="498" w:lineRule="auto"/>
        <w:tabs>
          <w:tab w:leader="none" w:pos="267"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tbl>
      <w:tblPr>
        <w:tblLayout w:type="fixed"/>
        <w:tblInd w:w="40" w:type="dxa"/>
        <w:tblCellMar>
          <w:top w:w="0" w:type="dxa"/>
          <w:left w:w="0" w:type="dxa"/>
          <w:bottom w:w="0" w:type="dxa"/>
          <w:right w:w="0" w:type="dxa"/>
        </w:tblCellMar>
      </w:tblPr>
      <w:tr>
        <w:trPr>
          <w:trHeight w:val="149"/>
        </w:trPr>
        <w:tc>
          <w:tcPr>
            <w:tcW w:w="1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54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Total Number of Shares (or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w w:val="99"/>
              </w:rPr>
              <w:t>Average Price Paid per</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Units) Purchased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Share (or Unit)</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30, 2023</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1660" w:type="dxa"/>
            <w:vAlign w:val="bottom"/>
          </w:tcPr>
          <w:p>
            <w:pPr>
              <w:ind w:left="40"/>
              <w:spacing w:after="0"/>
              <w:rPr>
                <w:sz w:val="20"/>
                <w:szCs w:val="20"/>
                <w:color w:val="auto"/>
              </w:rPr>
            </w:pPr>
            <w:r>
              <w:rPr>
                <w:rFonts w:ascii="Arial" w:cs="Arial" w:eastAsia="Arial" w:hAnsi="Arial"/>
                <w:sz w:val="18"/>
                <w:szCs w:val="18"/>
                <w:color w:val="auto"/>
              </w:rPr>
              <w:t>May 31, 2023</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2023</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020" w:type="dxa"/>
            <w:vAlign w:val="bottom"/>
            <w:gridSpan w:val="7"/>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26"/>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gridSpan w:val="4"/>
          </w:tcPr>
          <w:p>
            <w:pPr>
              <w:ind w:left="400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340" w:type="dxa"/>
            <w:vAlign w:val="bottom"/>
            <w:gridSpan w:val="2"/>
          </w:tcPr>
          <w:p>
            <w:pPr>
              <w:ind w:left="20"/>
              <w:spacing w:after="0" w:line="189"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gridSpan w:val="4"/>
          </w:tcPr>
          <w:p>
            <w:pPr>
              <w:spacing w:after="0" w:line="189" w:lineRule="exact"/>
              <w:rPr>
                <w:sz w:val="20"/>
                <w:szCs w:val="20"/>
                <w:color w:val="auto"/>
              </w:rPr>
            </w:pPr>
            <w:r>
              <w:rPr>
                <w:rFonts w:ascii="Arial" w:cs="Arial" w:eastAsia="Arial" w:hAnsi="Arial"/>
                <w:sz w:val="18"/>
                <w:szCs w:val="18"/>
                <w:color w:val="0000FF"/>
                <w:w w:val="99"/>
              </w:rPr>
              <w:t>Certification of Chief Executive Officer pursuant to Rule 13a-14(a) under the Securities Exchange Act of 1934.</w:t>
            </w:r>
          </w:p>
        </w:tc>
      </w:tr>
      <w:tr>
        <w:trPr>
          <w:trHeight w:val="453"/>
        </w:trPr>
        <w:tc>
          <w:tcPr>
            <w:tcW w:w="340" w:type="dxa"/>
            <w:vAlign w:val="bottom"/>
            <w:gridSpan w:val="2"/>
          </w:tcPr>
          <w:p>
            <w:pPr>
              <w:ind w:left="2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Certification pursuant to Section 906 of the Sarbanes-Oxley Act of 2002.</w:t>
            </w:r>
          </w:p>
        </w:tc>
        <w:tc>
          <w:tcPr>
            <w:tcW w:w="3460" w:type="dxa"/>
            <w:vAlign w:val="bottom"/>
            <w:gridSpan w:val="3"/>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Inline 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Inline XBRL Schema Document</w:t>
            </w:r>
          </w:p>
        </w:tc>
      </w:tr>
      <w:tr>
        <w:trPr>
          <w:trHeight w:val="47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47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Inline 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473"/>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Inline XBRL Definition Linkbase Document</w:t>
            </w:r>
          </w:p>
        </w:tc>
      </w:tr>
    </w:tbl>
    <w:p>
      <w:pPr>
        <w:spacing w:after="0" w:line="269" w:lineRule="exact"/>
        <w:rPr>
          <w:sz w:val="20"/>
          <w:szCs w:val="20"/>
          <w:color w:val="auto"/>
        </w:rPr>
      </w:pPr>
    </w:p>
    <w:p>
      <w:pPr>
        <w:ind w:left="1080" w:hanging="105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1253490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2" w:name="page43"/>
    <w:bookmarkEnd w:id="4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MISTRAS GROUP, INC.</w:t>
      </w:r>
    </w:p>
    <w:p>
      <w:pPr>
        <w:spacing w:after="0" w:line="270"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630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35"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ectPr>
          <w:pgSz w:w="11900" w:h="16838" w:orient="portrait"/>
          <w:cols w:equalWidth="0" w:num="1">
            <w:col w:w="10920"/>
          </w:cols>
          <w:pgMar w:left="320" w:top="121" w:right="6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07, 2023</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57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Dennis Bertolotti</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07, 2023</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8404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Edward J. Prajzner</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8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June 30, 2023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Dated: August 07, 2023</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9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97935"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Dennis Bertolotti</w:t>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23495</wp:posOffset>
            </wp:positionV>
            <wp:extent cx="37979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97935" cy="8255"/>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lvl w:ilvl="1">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2023-08-07T10:51:16Z</dcterms:created>
  <dcterms:modified xsi:type="dcterms:W3CDTF">2023-08-07T10:51:16Z</dcterms:modified>
</cp:coreProperties>
</file>