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55880</wp:posOffset>
            </wp:positionV>
            <wp:extent cx="2571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6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0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11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660" w:right="380" w:hanging="652"/>
        <w:spacing w:after="0" w:line="275" w:lineRule="auto"/>
        <w:tabs>
          <w:tab w:leader="none" w:pos="35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 to ___</w:t>
      </w:r>
    </w:p>
    <w:p>
      <w:pPr>
        <w:spacing w:after="0" w:line="18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62865</wp:posOffset>
            </wp:positionV>
            <wp:extent cx="2571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Exact name of registrant as specified in its charter</w:t>
      </w:r>
      <w:r>
        <w:rPr>
          <w:rFonts w:ascii="Times New Roman" w:cs="Times New Roman" w:eastAsia="Times New Roman" w:hAnsi="Times New Roman"/>
          <w:sz w:val="18"/>
          <w:szCs w:val="18"/>
          <w:color w:val="auto"/>
        </w:rPr>
        <w: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16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22-3341267</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60" w:type="dxa"/>
            <w:vAlign w:val="bottom"/>
            <w:gridSpan w:val="2"/>
          </w:tcPr>
          <w:p>
            <w:pPr>
              <w:jc w:val="center"/>
              <w:ind w:left="1350"/>
              <w:spacing w:after="0" w:line="18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 or other jurisdiction of</w:t>
            </w: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40" w:type="dxa"/>
            <w:vAlign w:val="bottom"/>
            <w:gridSpan w:val="2"/>
          </w:tcPr>
          <w:p>
            <w:pPr>
              <w:jc w:val="center"/>
              <w:ind w:right="1820"/>
              <w:spacing w:after="0" w:line="182"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I.R.S. Employer</w:t>
            </w:r>
          </w:p>
        </w:tc>
        <w:tc>
          <w:tcPr>
            <w:tcW w:w="0" w:type="dxa"/>
            <w:vAlign w:val="bottom"/>
          </w:tcPr>
          <w:p>
            <w:pPr>
              <w:spacing w:after="0"/>
              <w:rPr>
                <w:sz w:val="1"/>
                <w:szCs w:val="1"/>
                <w:color w:val="auto"/>
              </w:rPr>
            </w:pPr>
          </w:p>
        </w:tc>
      </w:tr>
      <w:tr>
        <w:trPr>
          <w:trHeight w:val="236"/>
        </w:trPr>
        <w:tc>
          <w:tcPr>
            <w:tcW w:w="41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4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i w:val="1"/>
                <w:iCs w:val="1"/>
                <w:color w:val="auto"/>
                <w:w w:val="99"/>
              </w:rPr>
              <w:t>Identification Number</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6"/>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195 Clarksville Road</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Princeton Junction, New Jersey 08550</w:t>
            </w:r>
          </w:p>
        </w:tc>
        <w:tc>
          <w:tcPr>
            <w:tcW w:w="2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00" w:type="dxa"/>
            <w:vAlign w:val="bottom"/>
            <w:gridSpan w:val="7"/>
          </w:tcPr>
          <w:p>
            <w:pPr>
              <w:jc w:val="center"/>
              <w:ind w:left="36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Address of principal executive offices</w:t>
            </w:r>
            <w:r>
              <w:rPr>
                <w:rFonts w:ascii="Times New Roman" w:cs="Times New Roman" w:eastAsia="Times New Roman" w:hAnsi="Times New Roman"/>
                <w:sz w:val="18"/>
                <w:szCs w:val="18"/>
                <w:color w:val="auto"/>
                <w:w w:val="99"/>
              </w:rPr>
              <w:t>) (</w:t>
            </w:r>
            <w:r>
              <w:rPr>
                <w:rFonts w:ascii="Times New Roman" w:cs="Times New Roman" w:eastAsia="Times New Roman" w:hAnsi="Times New Roman"/>
                <w:sz w:val="18"/>
                <w:szCs w:val="18"/>
                <w:i w:val="1"/>
                <w:iCs w:val="1"/>
                <w:color w:val="auto"/>
                <w:w w:val="99"/>
              </w:rPr>
              <w:t>Zip Code</w:t>
            </w:r>
            <w:r>
              <w:rPr>
                <w:rFonts w:ascii="Times New Roman" w:cs="Times New Roman" w:eastAsia="Times New Roman" w:hAnsi="Times New Roman"/>
                <w:sz w:val="18"/>
                <w:szCs w:val="18"/>
                <w:color w:val="auto"/>
                <w:w w:val="99"/>
              </w:rPr>
              <w:t>)</w:t>
            </w:r>
          </w:p>
        </w:tc>
        <w:tc>
          <w:tcPr>
            <w:tcW w:w="20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(609) 716-4000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5500" w:type="dxa"/>
            <w:vAlign w:val="bottom"/>
            <w:gridSpan w:val="4"/>
            <w:vMerge w:val="restart"/>
          </w:tcPr>
          <w:p>
            <w:pPr>
              <w:ind w:left="168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Registrant's telephone number, including area code</w:t>
            </w:r>
            <w:r>
              <w:rPr>
                <w:rFonts w:ascii="Times New Roman" w:cs="Times New Roman" w:eastAsia="Times New Roman" w:hAnsi="Times New Roman"/>
                <w:sz w:val="18"/>
                <w:szCs w:val="18"/>
                <w:color w:val="auto"/>
                <w:w w:val="98"/>
              </w:rPr>
              <w:t>)</w:t>
            </w:r>
          </w:p>
        </w:tc>
        <w:tc>
          <w:tcPr>
            <w:tcW w:w="1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500" w:type="dxa"/>
            <w:vAlign w:val="bottom"/>
            <w:gridSpan w:val="4"/>
            <w:vMerge w:val="continue"/>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4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60" w:type="dxa"/>
            <w:vAlign w:val="bottom"/>
          </w:tcPr>
          <w:p>
            <w:pPr>
              <w:spacing w:after="0"/>
              <w:rPr>
                <w:sz w:val="22"/>
                <w:szCs w:val="22"/>
                <w:color w:val="auto"/>
              </w:rPr>
            </w:pPr>
          </w:p>
        </w:tc>
        <w:tc>
          <w:tcPr>
            <w:tcW w:w="328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0" w:type="dxa"/>
            <w:vAlign w:val="bottom"/>
          </w:tcPr>
          <w:p>
            <w:pPr>
              <w:spacing w:after="0"/>
              <w:rPr>
                <w:sz w:val="1"/>
                <w:szCs w:val="1"/>
                <w:color w:val="auto"/>
              </w:rPr>
            </w:pPr>
          </w:p>
        </w:tc>
      </w:tr>
      <w:tr>
        <w:trPr>
          <w:trHeight w:val="232"/>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$.01 par value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MG</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-48260</wp:posOffset>
            </wp:positionV>
            <wp:extent cx="2571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87"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90" w:lineRule="exact"/>
        <w:rPr>
          <w:sz w:val="24"/>
          <w:szCs w:val="24"/>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o</w:t>
            </w:r>
          </w:p>
        </w:tc>
        <w:tc>
          <w:tcPr>
            <w:tcW w:w="50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40"/>
              <w:spacing w:after="0"/>
              <w:rPr>
                <w:sz w:val="20"/>
                <w:szCs w:val="20"/>
                <w:color w:val="auto"/>
              </w:rPr>
            </w:pPr>
            <w:r>
              <w:rPr>
                <w:rFonts w:ascii="Wingdings" w:cs="Wingdings" w:eastAsia="Wingdings" w:hAnsi="Wingdings"/>
                <w:sz w:val="18"/>
                <w:szCs w:val="18"/>
                <w:b w:val="1"/>
                <w:bCs w:val="1"/>
                <w:color w:val="auto"/>
                <w:w w:val="94"/>
              </w:rPr>
              <w:t>x</w:t>
            </w: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tc>
        <w:tc>
          <w:tcPr>
            <w:tcW w:w="50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3780" w:type="dxa"/>
            <w:vAlign w:val="bottom"/>
          </w:tcPr>
          <w:p>
            <w:pPr>
              <w:spacing w:after="0"/>
              <w:rPr>
                <w:sz w:val="24"/>
                <w:szCs w:val="24"/>
                <w:color w:val="auto"/>
              </w:rPr>
            </w:pPr>
          </w:p>
        </w:tc>
        <w:tc>
          <w:tcPr>
            <w:tcW w:w="50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91"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4"/>
          <w:szCs w:val="24"/>
          <w:color w:val="auto"/>
        </w:rPr>
      </w:pPr>
    </w:p>
    <w:p>
      <w:pPr>
        <w:ind w:right="2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ind w:right="4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1181" w:right="339" w:bottom="0" w:gutter="0" w:footer="0" w:header="0"/>
        </w:sectPr>
      </w:pPr>
    </w:p>
    <w:bookmarkStart w:id="1" w:name="page2"/>
    <w:bookmarkEnd w:id="1"/>
    <w:p>
      <w:pPr>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based on the closing price of $8.17 on June 28, 2024, the last business day of the registrant's most recently completed second fiscal quarter, as reported on the New York Stock Exchange, was approximately $166.7 million.</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6, 2025, the Registrant had 31,032,045 shares of common stock outstanding.</w:t>
      </w:r>
    </w:p>
    <w:p>
      <w:pPr>
        <w:spacing w:after="0" w:line="14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35"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Information required by Part III (Items 10, 11, 12, 13 and 14) is incorporated by reference to portions of the registrant’s definitive proxy statement for its 2025 annual meeting of stockholders (the “Proxy Statement”), which is expected to be filed not later than 120 days after the registrant’s fiscal year ended December 31, 2024. Except as expressly incorporated by reference, the Proxy Statement shall not be deemed to be a part of this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Auditor Name: PricewaterhouseCoopers LLP Auditor Location: Philadelphia, Pennsylvania Auditor Firm ID: 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9265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6926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5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gridSpan w:val="14"/>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8"/>
              </w:rPr>
              <w:t>MISTRAS GROUP,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gridSpan w:val="18"/>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20" w:type="dxa"/>
            <w:vAlign w:val="bottom"/>
            <w:gridSpan w:val="14"/>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PART I</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6"/>
              </w:rPr>
              <w:t>ITEM 1B.</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6"/>
              </w:rPr>
              <w:t>ITEM 1C.</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2.</w:t>
            </w:r>
          </w:p>
        </w:tc>
        <w:tc>
          <w:tcPr>
            <w:tcW w:w="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3.</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PART II</w:t>
            </w:r>
          </w:p>
        </w:tc>
        <w:tc>
          <w:tcPr>
            <w:tcW w:w="620" w:type="dxa"/>
            <w:vAlign w:val="bottom"/>
            <w:tcBorders>
              <w:top w:val="single" w:sz="8" w:color="0000FF"/>
            </w:tcBorders>
            <w:gridSpan w:val="2"/>
          </w:tcPr>
          <w:p>
            <w:pPr>
              <w:spacing w:after="0"/>
              <w:rPr>
                <w:sz w:val="24"/>
                <w:szCs w:val="24"/>
                <w:color w:val="auto"/>
              </w:rPr>
            </w:pPr>
          </w:p>
        </w:tc>
        <w:tc>
          <w:tcPr>
            <w:tcW w:w="7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390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4320" w:type="dxa"/>
            <w:vAlign w:val="bottom"/>
            <w:tcBorders>
              <w:top w:val="single" w:sz="8" w:color="0000FF"/>
            </w:tcBorders>
            <w:gridSpan w:val="10"/>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6.</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7.</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8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6660" w:type="dxa"/>
            <w:vAlign w:val="bottom"/>
            <w:tcBorders>
              <w:top w:val="single" w:sz="8" w:color="0000FF"/>
            </w:tcBorders>
            <w:gridSpan w:val="17"/>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7A.</w:t>
            </w: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8.</w:t>
            </w:r>
          </w:p>
        </w:tc>
        <w:tc>
          <w:tcPr>
            <w:tcW w:w="1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9.</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84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DISCLOSURE</w:t>
            </w:r>
          </w:p>
        </w:tc>
        <w:tc>
          <w:tcPr>
            <w:tcW w:w="6060" w:type="dxa"/>
            <w:vAlign w:val="bottom"/>
            <w:tcBorders>
              <w:top w:val="single" w:sz="8" w:color="0000FF"/>
            </w:tcBorders>
            <w:gridSpan w:val="15"/>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9A.</w:t>
            </w: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6"/>
              </w:rPr>
              <w:t>ITEM 9B.</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6"/>
              </w:rPr>
              <w:t>ITEM 9C.</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3051F2"/>
              </w:rPr>
              <w:t>DISCLOSURES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680" w:type="dxa"/>
            <w:vAlign w:val="bottom"/>
            <w:tcBorders>
              <w:top w:val="single" w:sz="8" w:color="0000FF"/>
            </w:tcBorders>
            <w:gridSpan w:val="3"/>
          </w:tcPr>
          <w:p>
            <w:pPr>
              <w:spacing w:after="0"/>
              <w:rPr>
                <w:sz w:val="24"/>
                <w:szCs w:val="24"/>
                <w:color w:val="auto"/>
              </w:rPr>
            </w:pPr>
          </w:p>
        </w:tc>
        <w:tc>
          <w:tcPr>
            <w:tcW w:w="6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3051F2"/>
            </w:tcBorders>
          </w:tcPr>
          <w:p>
            <w:pPr>
              <w:spacing w:after="0"/>
              <w:rPr>
                <w:sz w:val="24"/>
                <w:szCs w:val="24"/>
                <w:color w:val="auto"/>
              </w:rPr>
            </w:pPr>
          </w:p>
        </w:tc>
        <w:tc>
          <w:tcPr>
            <w:tcW w:w="18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1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840" w:type="dxa"/>
            <w:vAlign w:val="bottom"/>
            <w:tcBorders>
              <w:top w:val="single" w:sz="8" w:color="3051F2"/>
            </w:tcBorders>
          </w:tcPr>
          <w:p>
            <w:pPr>
              <w:spacing w:after="0"/>
              <w:rPr>
                <w:sz w:val="24"/>
                <w:szCs w:val="24"/>
                <w:color w:val="auto"/>
              </w:rPr>
            </w:pPr>
          </w:p>
        </w:tc>
        <w:tc>
          <w:tcPr>
            <w:tcW w:w="50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1140" w:type="dxa"/>
            <w:vAlign w:val="bottom"/>
            <w:tcBorders>
              <w:top w:val="single" w:sz="8" w:color="3051F2"/>
            </w:tcBorders>
          </w:tcPr>
          <w:p>
            <w:pPr>
              <w:spacing w:after="0"/>
              <w:rPr>
                <w:sz w:val="24"/>
                <w:szCs w:val="24"/>
                <w:color w:val="auto"/>
              </w:rPr>
            </w:pPr>
          </w:p>
        </w:tc>
        <w:tc>
          <w:tcPr>
            <w:tcW w:w="340" w:type="dxa"/>
            <w:vAlign w:val="bottom"/>
            <w:tcBorders>
              <w:top w:val="single" w:sz="8" w:color="3051F2"/>
            </w:tcBorders>
          </w:tcPr>
          <w:p>
            <w:pPr>
              <w:spacing w:after="0"/>
              <w:rPr>
                <w:sz w:val="24"/>
                <w:szCs w:val="24"/>
                <w:color w:val="auto"/>
              </w:rPr>
            </w:pPr>
          </w:p>
        </w:tc>
        <w:tc>
          <w:tcPr>
            <w:tcW w:w="920" w:type="dxa"/>
            <w:vAlign w:val="bottom"/>
            <w:tcBorders>
              <w:top w:val="single" w:sz="8" w:color="3051F2"/>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10.</w:t>
            </w: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11.</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12.</w:t>
            </w: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390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STOCKHOLDER MATTERS</w:t>
            </w:r>
          </w:p>
        </w:tc>
        <w:tc>
          <w:tcPr>
            <w:tcW w:w="4080" w:type="dxa"/>
            <w:vAlign w:val="bottom"/>
            <w:tcBorders>
              <w:top w:val="single" w:sz="8" w:color="0000FF"/>
            </w:tcBorders>
            <w:gridSpan w:val="9"/>
          </w:tcPr>
          <w:p>
            <w:pPr>
              <w:spacing w:after="0"/>
              <w:rPr>
                <w:sz w:val="14"/>
                <w:szCs w:val="14"/>
                <w:color w:val="auto"/>
              </w:rPr>
            </w:pPr>
          </w:p>
        </w:tc>
        <w:tc>
          <w:tcPr>
            <w:tcW w:w="1000" w:type="dxa"/>
            <w:vAlign w:val="bottom"/>
            <w:gridSpan w:val="2"/>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13.</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2060" w:type="dxa"/>
            <w:vAlign w:val="bottom"/>
            <w:tcBorders>
              <w:left w:val="single" w:sz="8" w:color="0000FF"/>
            </w:tcBorders>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14.</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0000FF"/>
            </w:tcBorders>
            <w:gridSpan w:val="3"/>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2"/>
              </w:rPr>
              <w:t>PART IV</w:t>
            </w:r>
          </w:p>
        </w:tc>
        <w:tc>
          <w:tcPr>
            <w:tcW w:w="13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15.</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2560" w:type="dxa"/>
            <w:vAlign w:val="bottom"/>
            <w:tcBorders>
              <w:left w:val="single" w:sz="8" w:color="0000FF"/>
            </w:tcBorders>
            <w:gridSpan w:val="8"/>
            <w:shd w:val="clear" w:color="auto" w:fill="0000FF"/>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16.</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Section 27A of the Securities Act of 1933, as amended (the "Securities Act"), and Section 21E of the Securities Exchange Act of 1934, as amended (the "Exchange Act"), regarding Mistras Group, Inc. ("Mistras," "MISTRAS," "the Company," "us," "we," "our" and similar expressions) and our business, financial condition, results of operations and prospects.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“expects,” “anticipates,” “intends,” “plans,” “believes,” “seeks,” “estimates,” “may,” “could,” “should,” “would,” “predicts,” “appears,” “projects,” or the negative of such terms or other similar expressions, although the absence of such words does not mean that a statement is not forward-looking. Factors that could cause or contribute to differences in results and outcomes from those in our forward-looking statements include, without limitation, those discussed elsewhere in this Annual Report in Part I, Item 1A. “Risk Factors,” Part II, Item 7, “Management’s Discussion and Analysis of Financial Condition and Results of Operations” and in this Item 1. We undertake no obligation to (and expressly disclaim any obligation to) revise or update any forward-looking statements made herein whether as a result of new information, future events or otherwise, except as may be required under applicable securities laws. However, you should consult any further disclosures we may make on these or related topics in our reports on Form 8-K or Form 10-Q filed with the Securities and Exchange Commission ("SEC").</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discussions should be read in conjunction with the sections of this Annual Report entitled “Management’s Discussion and Analysis of Financial Condition and Results of Operations” and “Risk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Mistras Group, Inc. is a leading "one source" multinational provider of integrated technology-enabled asset integrity solutions, helping to maximize the safety and operational uptime for civilization’s most critical industrial and civil assets.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a decades-long legacy of industry leadership, the Company helps customers with asset-intensive and mission critical infrastructure in the oil and gas, petrochemical, aerospace and defense, industrials, power generation and transmission (including alternative and renewable energy), other process industries and infrastructure, research and engineering and other industries towards achieving and maintaining operational excellence. By supporting these customers that help fuel our vehicles and power our society; inspecting components that are trusted for commercial, defense, and private space; and building monitoring equipment to help avoid catastrophic incidents, the Company helps the world at large with its asset integrity risk mitigation.</w:t>
      </w:r>
    </w:p>
    <w:p>
      <w:pPr>
        <w:spacing w:after="0" w:line="2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enhances value for its customers by integrating asset integrity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 The Company’s core capabilities also include non-destructive testing ("NDT") field inspections enhanced by advanced robotics, laboratory quality control, laboratory materials services, in-house laboratory assurance testing, sensing technologies and NDT equipment, asset and mechanical integrity engineering services, and light mechanical maintenance and access services.</w:t>
      </w: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our customers'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our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In the past,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offerings, technologies, resources and customers, which we believe will enhance our advantages over our competition.</w:t>
      </w:r>
    </w:p>
    <w:p>
      <w:pPr>
        <w:spacing w:after="0" w:line="21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business and financial results are impacted by world-wide macro- and micro-economic conditions generally, as well as those within our target markets. Among other things, we expect the timing of our oil and gas customers inspection and maintenance expenditures to be impacted by oil price fluctuations.</w:t>
      </w:r>
    </w:p>
    <w:p>
      <w:pPr>
        <w:spacing w:after="0" w:line="20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MISTRAS OneSuite platform. The OneSuite platform offers functions of MISTRAS' software and services brands as integrated applications on a cloud environment. OneSuite serves as a single access portal for customers' data activities and provides access to 90 plus applications being offered on one centralized platform.</w:t>
      </w: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have established long-term relationships as a critical solutions provider to many of the leading companies with asset-intensive and mission-critical infrastructure in our target markets. These markets primarily consist of:</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Gas (Downstream, Midstream and Upstream)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Aerospace and Defense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Transmission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Research and Engineering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Process Industries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Petrochemical</w:t>
      </w:r>
    </w:p>
    <w:p>
      <w:pPr>
        <w:spacing w:after="0" w:line="23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majority of our revenues are generated by deploying technicians and inspectors at our customers' locations. A majority of our revenues from aerospace and defense as well as certain manufacturing customers are generated by performing inspections and testing at our various in-house laboratories.</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generated revenues of $729.6 million, $705.5 million and $687.4 million for the years ended December 31, 2024, 2023 and 2022, respectively. We generated net income of $19.0 million, net loss of $17.4 million and net income of $6.6 million for the years ended December 31, 2024, 2023, and 2022, respectively. For the years ended December 31, 2024, 2023 and 2022, we generated approximately 81%, 82% and 83%, respectively, of our revenues from our North America segment. Our revenues are diversified, with our top ten customers accounting for approximately 36%, 35% and 33% of our revenues during the years ended December 31, 2024, 2023 and 2022, respectively, with no customer accounting for greater than 10% of our revenues in any such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SPECIALIZED SOLUTIONS</w:t>
      </w:r>
    </w:p>
    <w:p>
      <w:pPr>
        <w:spacing w:after="0" w:line="1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 provider of asset protection solutions, we combine our industry-leading services, products, data management and analytical solutions technologies to provide a unique and custom-tailored solution for each customer’s individual asset protection needs, ranging from routine inspections to complex, plant-wide asset integrity management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Field Inspections</w:t>
      </w:r>
    </w:p>
    <w:p>
      <w:pPr>
        <w:spacing w:after="0" w:line="14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field inspections portfolio includes traditional and advanced NDT techniques and inline inspection for pipelines. We offer these solutions on an individual basis, or as parts of enterprise inspection and testing programs.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NDT is the examination of an asset without materially impacting its structural integrity. The ability to inspect infrastructure assets and not interfere with their operating performance makes NDT a highly-attractive alternative to many traditional techniques, which may require shutting down an asset or entire facility. Typical issues for which our technicians inspect include potential corrosion, cracking, pitting, leaking, faults and flaws in piping, storage tanks and pressure vessels, as well as a wide range of other industrial assets and public infrastructure.</w:t>
      </w:r>
    </w:p>
    <w:p>
      <w:pPr>
        <w:spacing w:after="0" w:line="1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automated data acquisition solutions utilize smart sensing and monitoring, robotic inspection systems, and digitized spot inspections to provide asset integrity data with greater insight into current and potentially future asset conditions.</w:t>
      </w:r>
    </w:p>
    <w:p>
      <w:pPr>
        <w:spacing w:after="0" w:line="8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Field inspection services lend themselves to integration with our other offerings, and as such have often served as the initial entry point to more advanced customer engagements that require additional solutions. After an initial field inspection is performed, we are able to provide multiple supplemental solutions, such as maintenance services, engineering consulting and data analytical solutions services we provide, that further serve to solidify our relationships with our customers and drive additional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Analytical Solutions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asset protection solutions that we provide throughout our customers’ asset lifecycles generate mechanical integrity data that needs to be effectively archived, managed, and analyzed. A common difficulty that our customers face is the ability to easily access and analyze large volumes of data from multiple data collection and input sources. We recognize that this data is most valuable to our customers when it is accessible and integrated (regardless of vendor, tool, or facility), and we have taken significant steps to digitalizing asset protection processes through our data analytical solutions product offerings.</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data analytical solutions capabilities capture asset data to help our customers follow regulatory compliance, ensure mechanical integrity, and reduce unplanned outages. We capture data using manned and automated techniques that minimize the impact on our customers' operations. Customers can access our collected data for all facilities, structures, and assets that we manage from one easy to use dashboard, which enables customers to evaluate trending and benchmarking across multiple sites seamlessly.</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Customer data is managed in our asset protection software ecosystem, OneSuite. Our OneSuite software platform offers functions of our popular software and services brands as integrated applications in a cloud environment. Our OneSuite software platform serves as a single access portal for customers' data activities and provides access to 90 plus integrated applications being offered in one centralized platform.</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Many customers take advantage of our data analytics capabilities that utilize technology to automatically generate insights and actionable recommendations that can be implemented to improve our customers' overall productivity. Our managed services integrate our data capabilities with data analysts, field personnel and engineers to provide a comprehensive solution to our customers that reduces our customers' overall costs.</w:t>
      </w:r>
    </w:p>
    <w:p>
      <w:pPr>
        <w:spacing w:after="0" w:line="20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Our customers within the </w:t>
      </w:r>
      <w:r>
        <w:rPr>
          <w:rFonts w:ascii="Times New Roman" w:cs="Times New Roman" w:eastAsia="Times New Roman" w:hAnsi="Times New Roman"/>
          <w:sz w:val="18"/>
          <w:szCs w:val="18"/>
          <w:i w:val="1"/>
          <w:iCs w:val="1"/>
          <w:color w:val="auto"/>
        </w:rPr>
        <w:t>oil and gas</w:t>
      </w:r>
      <w:r>
        <w:rPr>
          <w:rFonts w:ascii="Times New Roman" w:cs="Times New Roman" w:eastAsia="Times New Roman" w:hAnsi="Times New Roman"/>
          <w:sz w:val="18"/>
          <w:szCs w:val="18"/>
          <w:color w:val="auto"/>
        </w:rPr>
        <w:t xml:space="preserve"> and petrochemical industries take advantage of our industry-leading application </w:t>
      </w:r>
      <w:r>
        <w:rPr>
          <w:rFonts w:ascii="Times New Roman" w:cs="Times New Roman" w:eastAsia="Times New Roman" w:hAnsi="Times New Roman"/>
          <w:sz w:val="18"/>
          <w:szCs w:val="18"/>
          <w:i w:val="1"/>
          <w:iCs w:val="1"/>
          <w:color w:val="auto"/>
        </w:rPr>
        <w:t>Plant Condition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("PCMS®"). </w:t>
      </w:r>
      <w:r>
        <w:rPr>
          <w:rFonts w:ascii="Times New Roman" w:cs="Times New Roman" w:eastAsia="Times New Roman" w:hAnsi="Times New Roman"/>
          <w:sz w:val="18"/>
          <w:szCs w:val="18"/>
          <w:color w:val="auto"/>
        </w:rPr>
        <w:t>This application is one of the most widely used asset integrity management systems (“AIMS”). We estimate that our PCMS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is currently used by approximately 50% of the U.S. refiners, as well as by leading midstream pipeline energy companies and major oil and gas companies in Canada and Europe. This allows us to provide our customers with industry-leading insights across all of their facilities and enables us to provide additional software and solutions to these customers and perform recurring maintenance where necessary.</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Our pipeline customers utilize our </w:t>
      </w:r>
      <w:r>
        <w:rPr>
          <w:rFonts w:ascii="Times New Roman" w:cs="Times New Roman" w:eastAsia="Times New Roman" w:hAnsi="Times New Roman"/>
          <w:sz w:val="17"/>
          <w:szCs w:val="17"/>
          <w:i w:val="1"/>
          <w:iCs w:val="1"/>
          <w:color w:val="auto"/>
        </w:rPr>
        <w:t>Onstream®</w:t>
      </w:r>
      <w:r>
        <w:rPr>
          <w:rFonts w:ascii="Times New Roman" w:cs="Times New Roman" w:eastAsia="Times New Roman" w:hAnsi="Times New Roman"/>
          <w:sz w:val="17"/>
          <w:szCs w:val="17"/>
          <w:color w:val="auto"/>
        </w:rPr>
        <w:t xml:space="preserve"> services and </w:t>
      </w:r>
      <w:r>
        <w:rPr>
          <w:rFonts w:ascii="Times New Roman" w:cs="Times New Roman" w:eastAsia="Times New Roman" w:hAnsi="Times New Roman"/>
          <w:sz w:val="17"/>
          <w:szCs w:val="17"/>
          <w:i w:val="1"/>
          <w:iCs w:val="1"/>
          <w:color w:val="auto"/>
        </w:rPr>
        <w:t>New Century®</w:t>
      </w:r>
      <w:r>
        <w:rPr>
          <w:rFonts w:ascii="Times New Roman" w:cs="Times New Roman" w:eastAsia="Times New Roman" w:hAnsi="Times New Roman"/>
          <w:sz w:val="17"/>
          <w:szCs w:val="17"/>
          <w:color w:val="auto"/>
        </w:rPr>
        <w:t xml:space="preserve"> software platform to capture, manage and analyze pipeline integrity data in the midstream and upstream sectors of the oil and gas industry. We provide among the most comprehensive, data-driven pipeline protection solutions available to the industry. Our proprietary pipeline data analysis solutions enable deep integration of inline inspection ("ILI") big data with real-time risk analytics and business intelligence ("BI") to provide capabilities for supporting pipeline integrity, which we believe provides us with an important competitive advantage.</w:t>
      </w:r>
    </w:p>
    <w:p>
      <w:pPr>
        <w:spacing w:after="0" w:line="1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wind, power and infrastructure customers implement our online condition-monitoring solutions that provide real-time reports and analysis of infrastructure to alert facility personnel to damages before critical failures occur, while our flexible, IIoT compatible, cloud-based online monitoring portal centralizes and analyzes all collected monitoring data. These monitoring solutions are often installed in hazardous or hard-to-reach locations, helping to enhance safety by reducing the need to send technicians into unsafe locations.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In-house Laboratory Testing</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network of in-house laboratories located across North America and Europe offers quality assurance and quality control ("QA/QC") solutions for new and existing metal and alloy components, materials, and composites.</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in-house laboratories work with our customers to test and measure utilized components throughout their lifetimes, from preparation and production to post-processing and in-service component monitoring. Our laboratory QA/QC solutions help to meet customer needs throughout their manufacturing cycles, with a focus on optimizing production logistics. Our in-house laboratory solutions include:</w:t>
      </w:r>
    </w:p>
    <w:p>
      <w:pPr>
        <w:spacing w:after="0" w:line="10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Non-destructive evaluation/inspection ("NDE"/"NDI")</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Destructive testing ("DT")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Metallurgical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Chemical analysis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Machining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Pre-machining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Casting repair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Finishing services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often inspect and test components prior to assembly to screen for defects and discontinuities introduced in the manufacturing process.</w:t>
      </w:r>
    </w:p>
    <w:p>
      <w:pPr>
        <w:spacing w:after="0" w:line="15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laboratories hold a wide variety of certifications, such as: Nadcap (formerly NADCAP, the National Aerospace and Defense Contractors Accreditation Program), AS9100/ISO-9001, Federal Aviation Administration Repair Station, and the International Traffic in Arms Regulations/Export Administration Regulations, that allow us to perform inspections which meet or exceed stringent regulatory and manufacturers' requirements. With these certifications come a comprehensive range of approvals from prime contractors of major projects, militaries and internationally-renowned original equipment manufacturers ("OEMs") from many of our key markets, including the oil and gas, aerospace and defense, power generation and industrial markets.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w:t>
      </w:r>
    </w:p>
    <w:p>
      <w:pPr>
        <w:spacing w:after="0" w:line="1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perform maintenance and light mechanical services to prepare assets for inspection and to return them to working condition post inspection. These services include corrosion removal, mitigation and prevention; insulation installation and removal; electrical services; heat tracing, industrial cleaning; pipefitting; and welding. Our light mechanical services are often offered as complementary, value-added solutions to inspections, such as removing insulation in order to inspect piping, then re-installing insulation.</w:t>
      </w:r>
    </w:p>
    <w:p>
      <w:pPr>
        <w:spacing w:after="0" w:line="11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multi-disciplined technicians offer maintenance and light mechanical services in hard-to-access areas, and in some cases in combination with rope access or diving strategies.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Consulting</w:t>
      </w:r>
    </w:p>
    <w:p>
      <w:pPr>
        <w:spacing w:after="0" w:line="16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We provide a broad range of engineering consulting services, primarily for process equipment, technologies and facilities. Our engineering consultations include plant operations and management support, turnaround/shutdown planning, profit improvement, facilities planning studies, engineering design, process safety reviews, energy optimization evaluations, benchmarking/key performance indicator development and technical training.</w:t>
      </w:r>
    </w:p>
    <w:p>
      <w:pPr>
        <w:spacing w:after="0" w:line="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AIMS and Mechanical Integrity ("MI") services help improve asset reliability and regulatory compliance through a systematic, engineering-based approach to ensure the on going integrity and safety of equipment and industrial facilities. AIMS/MI services can include conducting an inventory of infrastructure assets; developing, implementing and training personnel in executing inspection and maintenance procedures; and managing MI programs. We help customers to identify gaps between existing and desired practices and establish quality assurance standards for fabrication, engineering and installation of infrastructure assets.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Some of our work is conducted in hard-to-access locations, including those in at-height, subsea and confined locations. We utilize scaffolding and rope access to access at-height and confined assets; certified divers for subsea inspection and maintenance; and unmanned (drone) aerial, land-based and subsea systems to deliver a wide range of inspection applications, with an emphasis on minimizing at-height access and confined space entry.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design and manufacture portable, handheld, wireless and turnkey NDT equipment, along with corresponding data acquisition sensors and software, for spot inspections and long-term, unattended monitoring applications.</w:t>
      </w:r>
    </w:p>
    <w:p>
      <w:pPr>
        <w:spacing w:after="0" w:line="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sell these solutions as individual components, or as complete systems, which include a combination of sensors, amplifiers, signal processing electronics, knowledge-based software and decision and feedback electronics. We also sell integrated service-and-system technology packages, in which our field technicians utilize our proprietary and specialized testing procedures and hardware, advanced pattern recognition, neural network software and databases to compare test results against our prior testing data or industry standards.</w:t>
      </w:r>
    </w:p>
    <w:p>
      <w:pPr>
        <w:spacing w:after="0" w:line="11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provide a range of acoustic emission ("AE") products and are a leader in the design and manufacture of AE sensors, instruments and turnkey systems used for monitoring and testing materials, pressure components, processes, and structures. We also design and manufacture ultrasonic testing ("UT") equipment.</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Most of our hardware products are fabricated, assembled and tested in our ISO-9001-certified facility in Princeton Junction, New Jersey. We also design and manufacture automated ultrasonic systems and scanners in France.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Centers of Excellence</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Another differentiator in our business model is our Centers of Excellence ("COEs"), which offer support for asset, technology or industry-specific solutions. Our subject matter experts engage in strategic sales opportunities to offer customers value-added solutions using advanced technologies and methods. The COEs help to standardize our approach to common problems in our key market segments. Our COE experts cover:</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Acoustic Emission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Petroleum Institute ("API") Turnarounds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AIMS/MI/Engineering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Ultrasonics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Fossil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Wave Ultrasonics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Phased Array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Rope Access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Tank Inspection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Tube Inspection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Unmanned Systems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ASSET PROTECTION INDUSTRY OVERVIEW</w:t>
      </w:r>
    </w:p>
    <w:p>
      <w:pPr>
        <w:spacing w:after="0" w:line="13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Asset protection plays a crucial role in assuring the integrity and reliability of critical infrastructure. As an asset protection solutions provider, we seek to maximize the uptime and safety of critical infrastructure, by helping customers to detect, locate, mitigate, and prevent damages such as corrosion, cracks, leaks, manufacturing flaws and other concerns to operating and structural integrity. In addition to these core utilities, the storage and analysis of collected inspection and MI data is also a key aspect of asset protection.</w:t>
      </w:r>
    </w:p>
    <w:p>
      <w:pPr>
        <w:spacing w:after="0" w:line="11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NDT has historically been a prominent solution in the asset protection industry due to its capacity to detect defects without compromising the structural integrity of the tested materials or equipment. Traditionally, the supply of NDT inspection services has been provided by many relatively small vendors, who provide services in a more localized geographic region. A trend has emerged, however, for customers to increasingly engage a select few vendors capable of providing a wider spectrum of asset protection solutions for global infrastructure, in addition to an increased demand for advanced non-destructive testing ("ANDT") solutions and data acquisition software, both of which require a highly-trained workforce.</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these trends, those vendors offering integrated solutions, scalable operations, skilled personnel and a global footprint are expected to have a distinct competitive advantage. Moreover, we believe that vendors that are able to effectively deliver both advanced solutions and data analytics, by virtue of their access to customers’ data, create a significant barrier to entry for competitors, leading to the opportunity to further create significant recurring revenues.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Dynamics of the Asset Protection Industry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the following represent key dynamics of the asset protection industry, and that the market available to us will continue to grow as these macro-market trends continue to develop:</w:t>
      </w:r>
    </w:p>
    <w:p>
      <w:pPr>
        <w:spacing w:after="0" w:line="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Digital Transformation of Asset Protection. </w:t>
      </w:r>
      <w:r>
        <w:rPr>
          <w:rFonts w:ascii="Times New Roman" w:cs="Times New Roman" w:eastAsia="Times New Roman" w:hAnsi="Times New Roman"/>
          <w:sz w:val="18"/>
          <w:szCs w:val="18"/>
          <w:color w:val="auto"/>
        </w:rPr>
        <w:t>Plants in the oil and gas, petrochemical and other process industries are recognizing the need to evolve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 paper-based mechanical integrity programs in favor of digitalized solutions. The rise of big data intelligence, and our data analytical solutions offerings, provide our customers with actionable insights from raw asset integrity data. The growing digitization of asset protection provides opportunities for contractors with a wide range of asset protection expertise and integrated data platforms to provide customers with data analytical solutions to help customers maximize uptime while controlling costs.</w:t>
      </w:r>
    </w:p>
    <w:p>
      <w:pPr>
        <w:spacing w:after="0" w:line="1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Extending the Useful Life of Aging Infrastructure While Increasing Utilization</w:t>
      </w:r>
      <w:r>
        <w:rPr>
          <w:rFonts w:ascii="Times New Roman" w:cs="Times New Roman" w:eastAsia="Times New Roman" w:hAnsi="Times New Roman"/>
          <w:sz w:val="18"/>
          <w:szCs w:val="18"/>
          <w:color w:val="auto"/>
        </w:rPr>
        <w:t>. Due to the prohibitive costs and challenges of building new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companies have chosen to extend the useful life of existing assets through enhancements, rather than replacing these assets. This has resulted in the significant aging and increased utilization of existing infrastructure in our target markets. Because aging infrastructure requires more frequent inspection and maintenance in comparison to new infrastructure, companies and public authorities continue to spend on asset protection to ensure their aging infrastructure assets continue to operate effectively.</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Outsourcing of Non-Core Activities and Technical Resource Constraints</w:t>
      </w:r>
      <w:r>
        <w:rPr>
          <w:rFonts w:ascii="Times New Roman" w:cs="Times New Roman" w:eastAsia="Times New Roman" w:hAnsi="Times New Roman"/>
          <w:sz w:val="18"/>
          <w:szCs w:val="18"/>
          <w:color w:val="auto"/>
        </w:rPr>
        <w:t>. Due to the increasing sophistication and automation of asset protection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decreasing supply of skilled professionals and increasing governmental regulations, companies are increasingly outsourcing NDT to third-party providers with advanced solution portfolios, engineering expertise and trained workforces.</w:t>
      </w:r>
    </w:p>
    <w:p>
      <w:pPr>
        <w:spacing w:after="0" w:line="10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Increasing Corrosion from Low-Quality Inputs</w:t>
      </w:r>
      <w:r>
        <w:rPr>
          <w:rFonts w:ascii="Times New Roman" w:cs="Times New Roman" w:eastAsia="Times New Roman" w:hAnsi="Times New Roman"/>
          <w:sz w:val="18"/>
          <w:szCs w:val="18"/>
          <w:color w:val="auto"/>
        </w:rPr>
        <w:t>. The increased availability and low cost of crude oil from areas such as shale plays and oil sands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led to the use of lower-grade raw materials and feedstock. This leads to higher rates of corrosion, especially in refining processes involving petroleum with higher sulfur content, which increases the need for asset protection solutions to detect and/or proactively prevent corrosion-related issues.</w:t>
      </w:r>
    </w:p>
    <w:p>
      <w:pPr>
        <w:spacing w:after="0" w:line="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Increasing Use of Advanced Materials</w:t>
      </w:r>
      <w:r>
        <w:rPr>
          <w:rFonts w:ascii="Times New Roman" w:cs="Times New Roman" w:eastAsia="Times New Roman" w:hAnsi="Times New Roman"/>
          <w:sz w:val="18"/>
          <w:szCs w:val="18"/>
          <w:color w:val="auto"/>
        </w:rPr>
        <w:t>. Customers in various target markets - particularly aerospace and defense - are increasingly utilizing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such as composites and other unique technologies in their assets. These materials often cannot be tested using traditional NDT techniques. We believe that demand for more advanced testing and assessment solutions will increase as the utilization of these advanced materials increases during the design, manufacturing, operating and quality control phases.</w:t>
      </w:r>
    </w:p>
    <w:p>
      <w:pPr>
        <w:spacing w:after="0" w:line="11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i w:val="1"/>
          <w:iCs w:val="1"/>
          <w:color w:val="auto"/>
        </w:rPr>
        <w:t>Meeting Safety Regulations</w:t>
      </w:r>
      <w:r>
        <w:rPr>
          <w:rFonts w:ascii="Times New Roman" w:cs="Times New Roman" w:eastAsia="Times New Roman" w:hAnsi="Times New Roman"/>
          <w:sz w:val="18"/>
          <w:szCs w:val="18"/>
          <w:color w:val="auto"/>
        </w:rPr>
        <w:t>. Owners and operators of refineries, pipelines and petrochemical and chemical plants increasingly face strict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and more stringent process safety enforcement standards. This includes the continued implementation of the Occupational Safety and Health Administration’s National Emphasis Program. Failure to meet these standards can result in significant financial liabilities, increased scrutiny by government and industry regulators, higher insurance premiums and tarnished corporate brand value. As a result, these owners and operators are seeking highly-reliable asset protection suppliers with a track record of assisting customers in meeting increasingly stringent regulations. Our customers benefit from our extensive engineering consulting base that supports them in devising MI programs that both meet regulatory compliance standards and enable enhanced safety and uptime at the customer's facilities.</w:t>
      </w:r>
    </w:p>
    <w:p>
      <w:pPr>
        <w:spacing w:after="0" w:line="1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Expanding Addressable End-Markets</w:t>
      </w:r>
      <w:r>
        <w:rPr>
          <w:rFonts w:ascii="Times New Roman" w:cs="Times New Roman" w:eastAsia="Times New Roman" w:hAnsi="Times New Roman"/>
          <w:sz w:val="18"/>
          <w:szCs w:val="18"/>
          <w:color w:val="auto"/>
        </w:rPr>
        <w:t>. The continued emergence of and advances in asset protection technologies and software-based systems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the demand for asset protection solutions in applications where existing techniques were previously ineffective. Our range of service offerings and advanced digital technologies allows us to meet the requirements of chemical producers to continuously monitor and provide advanced digital analytical solutions for our customers'. Also, our advanced digital analytical solutions allow us to provide real-time monitoring to a variety of customers across infrastructure end markets.</w:t>
      </w:r>
    </w:p>
    <w:p>
      <w:pPr>
        <w:spacing w:after="0" w:line="1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Expanding Aerospace and Defense Industry</w:t>
      </w:r>
      <w:r>
        <w:rPr>
          <w:rFonts w:ascii="Times New Roman" w:cs="Times New Roman" w:eastAsia="Times New Roman" w:hAnsi="Times New Roman"/>
          <w:sz w:val="18"/>
          <w:szCs w:val="18"/>
          <w:color w:val="auto"/>
        </w:rPr>
        <w:t>. We believe that increased demand in the defense and private space industries will continue to grow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 several years in the commercial industry due to the approximately decade-long backlog for next-generation commercial aircraft to be built, driving the need for advanced solutions that improve cost and quality efficiencies. Demand continues to be stable in the defense industry while demand in the private space industry is growing.</w:t>
      </w:r>
    </w:p>
    <w:p>
      <w:pPr>
        <w:spacing w:after="0" w:line="11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continue to optimize our in-house laboratories to meet the growing demands of commercial aerospace and private space end markets. We continue to implement operational efficiencies and new technologies to be able to meet customer demand and needs as they arise. As a result, we are a trusted partner in the private space industry for our customers.</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Crude Oil Prices. </w:t>
      </w:r>
      <w:r>
        <w:rPr>
          <w:rFonts w:ascii="Times New Roman" w:cs="Times New Roman" w:eastAsia="Times New Roman" w:hAnsi="Times New Roman"/>
          <w:sz w:val="18"/>
          <w:szCs w:val="18"/>
          <w:color w:val="auto"/>
        </w:rPr>
        <w:t>Volatility in the energy sector has been profound during the 2015-2022 period with moderation occurring in 2023. The collapse of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oil prices in 2015 and 2016 undermined industry expansion. While energy prices recovered in 2017 and 2018, they once more declined, and subsequently rebounded in the second half of 2021 and the first half of 2022 with near record high prices and crack spreads. This resulted in refineries delaying turnarounds during 2022 until oil prices decreased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stabilized in the second half of 2022. The stabilization continued throughout 2023 without major peaks and fluctuations as seen in prior periods. The on-going war in Ukraine and the conflict in the Middle East between Israel and Hamas, coupled with continued macroeconomic uncertainty throughout 2024, are expected to continue to significantly influence oil prices for the foreseeable future.</w:t>
      </w:r>
    </w:p>
    <w:p>
      <w:pPr>
        <w:spacing w:after="0" w:line="1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Expanding Pipeline Integrity Regulations: </w:t>
      </w:r>
      <w:r>
        <w:rPr>
          <w:rFonts w:ascii="Times New Roman" w:cs="Times New Roman" w:eastAsia="Times New Roman" w:hAnsi="Times New Roman"/>
          <w:sz w:val="18"/>
          <w:szCs w:val="18"/>
          <w:color w:val="auto"/>
        </w:rPr>
        <w:t>The United States Pipeline &amp; Hazardous Materials Safety Administration’s “Mega Rule” adopted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expands pipeline integrity regulations on more than 500,000 miles of pipelines that carry natural gas, oil and other hazardous materials throughout the United States. Some of these requirements will take operators decades to fulfill. These regulations require inspection and integrity data records throughout a pipeline’s lifetime to be “reliable, traceable, verifiable, and complete,” increasing the demand for integrated inspection, engineering, monitoring, and data management and analysis solutions.</w:t>
      </w:r>
    </w:p>
    <w:p>
      <w:pPr>
        <w:spacing w:after="0" w:line="102"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Consolidation of Refineries: </w:t>
      </w:r>
      <w:r>
        <w:rPr>
          <w:rFonts w:ascii="Times New Roman" w:cs="Times New Roman" w:eastAsia="Times New Roman" w:hAnsi="Times New Roman"/>
          <w:sz w:val="18"/>
          <w:szCs w:val="18"/>
          <w:color w:val="auto"/>
        </w:rPr>
        <w:t>Consolidation of refinery ownership will create both pressure on refinery service providers due to increased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purchasing power and provide an opportunity to those same refinery service providers to become preferred providers to these larger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OneSource Provider for Asset Protection Solutions</w:t>
      </w:r>
      <w:r>
        <w:rPr>
          <w:rFonts w:ascii="Times New Roman" w:cs="Times New Roman" w:eastAsia="Times New Roman" w:hAnsi="Times New Roman"/>
          <w:sz w:val="18"/>
          <w:szCs w:val="18"/>
          <w:color w:val="auto"/>
        </w:rPr>
        <w:t>. We believe we have one of the most comprehensive portfolios of integrated asset protection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which positions us to be a leading single-source provider for our customers’ asset protection requirements. This is particularly a competitive strength in regards to turnarounds and shutdowns - during which facilities temporarily cease portions of their operations in order to perform plant-wide inspections, maintenance and repairs - as the services being requested and performed during these work stoppages make up significant portions of refinery, process and power plant maintenance budgets. Demand for our solutions increases during these outages, as facilities seek third-party providers to perform a wide spectrum of asset protection operations while the plant is offline. In addition, as companies are increasingly outsourcing their NDT needs to third-party providers, we believe that the ability to offer a comprehensive package of solutions provides us with a competitive advantage.</w:t>
      </w:r>
    </w:p>
    <w:p>
      <w:pPr>
        <w:spacing w:after="0" w:line="1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Integrated Data Management: </w:t>
      </w:r>
      <w:r>
        <w:rPr>
          <w:rFonts w:ascii="Times New Roman" w:cs="Times New Roman" w:eastAsia="Times New Roman" w:hAnsi="Times New Roman"/>
          <w:sz w:val="18"/>
          <w:szCs w:val="18"/>
          <w:color w:val="auto"/>
        </w:rPr>
        <w:t>Our expertise and proprietary research and development in data analytical solutions throughout the asset protection 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us with a competitive advantage. With solutions for integrated data acquisition, storage, visualization and analytics, our integrated data analytical solutions have us well-positioned for the oil and gas industry's increasing movement towards digitalizing and centralizing asset protection to fewer, highly-skilled and multi-disciplined vendors. Many of our data analytical solutions are platform-agnostic, allowing us to integrate into customers' existing operations, and thereby expanding the potential customer pool for our solutions. Our expertise and experience also allow us to tailor our offerings to meet specific customer needs, which sets us apart from our competitors. Our presence in our customers’ operations throughout their asset lifecycles also ideally positions us to be their primary vendor to centralize their asset integrity data collection, management and analysis, creating mutually-beneficial opportunities to scale our relationships.</w:t>
      </w:r>
    </w:p>
    <w:p>
      <w:pPr>
        <w:spacing w:after="0" w:line="11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Long-Standing Trusted Provider to a Diversified and Growing Customer Base</w:t>
      </w:r>
      <w:r>
        <w:rPr>
          <w:rFonts w:ascii="Times New Roman" w:cs="Times New Roman" w:eastAsia="Times New Roman" w:hAnsi="Times New Roman"/>
          <w:sz w:val="18"/>
          <w:szCs w:val="18"/>
          <w:color w:val="auto"/>
        </w:rPr>
        <w:t>. We have become a trusted partner to a large and growing customer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numerous global markets through our proven, decades-long track record of successful operations. Our customers include some of the largest and most well-recognized firms in the oil and gas, chemicals, power generation and transmission and aerospace and defense industries, as well as public authorities.</w:t>
      </w:r>
    </w:p>
    <w:p>
      <w:pPr>
        <w:spacing w:after="0" w:line="112"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Repository of Customer-Specific Inspection Data</w:t>
      </w:r>
      <w:r>
        <w:rPr>
          <w:rFonts w:ascii="Times New Roman" w:cs="Times New Roman" w:eastAsia="Times New Roman" w:hAnsi="Times New Roman"/>
          <w:sz w:val="18"/>
          <w:szCs w:val="18"/>
          <w:color w:val="auto"/>
        </w:rPr>
        <w:t>. Through our world-class enterprise data management and analysis software, PCMS,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extensive, proprietary process data that allows us to provide our customers with value-added services, such as benchmarking, "RBI" and reliability-centered maintenance.</w:t>
      </w:r>
    </w:p>
    <w:p>
      <w:pPr>
        <w:spacing w:after="0" w:line="9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Proprietary Products, Software and Technology Packages</w:t>
      </w:r>
      <w:r>
        <w:rPr>
          <w:rFonts w:ascii="Times New Roman" w:cs="Times New Roman" w:eastAsia="Times New Roman" w:hAnsi="Times New Roman"/>
          <w:sz w:val="18"/>
          <w:szCs w:val="18"/>
          <w:color w:val="auto"/>
        </w:rPr>
        <w:t>. Our extensive knowledge base in asset protection services and equipment enables us to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packages, in which our field technicians utilize our proprietary and specialized testing procedures and hardware, advanced pattern recognition, neural network software and databases to compare test results against our prior testing data or national and international structural integrity standards.</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Deep Domain Knowledge and Extensive Industry Experience</w:t>
      </w:r>
      <w:r>
        <w:rPr>
          <w:rFonts w:ascii="Times New Roman" w:cs="Times New Roman" w:eastAsia="Times New Roman" w:hAnsi="Times New Roman"/>
          <w:sz w:val="18"/>
          <w:szCs w:val="18"/>
          <w:color w:val="auto"/>
        </w:rPr>
        <w:t>. We have extensive asset protection experience and data, dating back several decades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We have gained this through our industry leadership in developing advanced asset protection solutions, including research and development of advanced NDT technologies and applications, process engineering technologies, online plant asset integrity management with sensor fusion; and enterprise software solutions for plant-wide and fleet-wide inspection data archiving and management.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Technological Research and Development. </w:t>
      </w:r>
      <w:r>
        <w:rPr>
          <w:rFonts w:ascii="Times New Roman" w:cs="Times New Roman" w:eastAsia="Times New Roman" w:hAnsi="Times New Roman"/>
          <w:sz w:val="18"/>
          <w:szCs w:val="18"/>
          <w:color w:val="auto"/>
        </w:rPr>
        <w:t>The inspection and testing industry continues to move towards more advanced, automated solutions,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providers to find safer and more cost-efficient inspection techniques. We believe that we remain ahead of the technological curve by backing our extensive industry expertise with the investment of resources in research and development. Some of the advanced inspection technologies developed by our internal research and development teams include an automated radiographic testing crawler for corrosion under insulation ("CUI") inspections in above ground pipelines and piping; our Large Structure Inspection scanner, and our real-time radiography crawler for 360° inspections of pipeline girth welds.</w:t>
      </w:r>
    </w:p>
    <w:p>
      <w:pPr>
        <w:spacing w:after="0" w:line="116"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i w:val="1"/>
          <w:iCs w:val="1"/>
          <w:color w:val="auto"/>
        </w:rPr>
        <w:t>Collaborating with Our Customers</w:t>
      </w:r>
      <w:r>
        <w:rPr>
          <w:rFonts w:ascii="Times New Roman" w:cs="Times New Roman" w:eastAsia="Times New Roman" w:hAnsi="Times New Roman"/>
          <w:sz w:val="17"/>
          <w:szCs w:val="17"/>
          <w:color w:val="auto"/>
        </w:rPr>
        <w:t>. We have historically expanded our asset protection solution portfolio in response to our customers’ unique performance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specifications. Our technology packages have often been developed in close cooperation and partnership with key customers and industry organizations.</w:t>
      </w:r>
    </w:p>
    <w:p>
      <w:pPr>
        <w:spacing w:after="0" w:line="5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Our management team has a track record of asset protection organizational leadership. These individuals also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successfully driven operational growth organically and through acquisitions, which we believe is important to facilitate future growth in the asset protection industry.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strategy emphasizes the following key elements:</w:t>
      </w:r>
    </w:p>
    <w:p>
      <w:pPr>
        <w:spacing w:after="0" w:line="14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Continue to Digitalize Asset Protection Data and Processes. </w:t>
      </w:r>
      <w:r>
        <w:rPr>
          <w:rFonts w:ascii="Times New Roman" w:cs="Times New Roman" w:eastAsia="Times New Roman" w:hAnsi="Times New Roman"/>
          <w:sz w:val="18"/>
          <w:szCs w:val="18"/>
          <w:color w:val="auto"/>
        </w:rPr>
        <w:t>We place a data-centric focus on asset protection, enabling our customers to ease some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biggest areas of concern (particularly the timely and accurate transfer of asset integrity data from the field to the data management systems, as well as the data’s visibility and accessibility once uploaded). We expect that the demand for our data analytical solutions which provides big data intelligence and remote data visibility will continue to grow, and we are investing in data analytical solutions that help our customers visualize and generate actionable insight from their asset integrity data, regardless of data input. We are also actively seeking to optimize our customers’ asset protection workflows and processes, by creating digital paths between data applications to increase data visibility and reduce manual data entry and human error. We have provided value added services to our customer, and unlocked long-term value for our customers when our digital solutions are combined with our traditional testing and inspection services. The bundling of these services provide meaningful value and insight to our customers and show the breadth and depth of our technologies, which differentiates us from our competitors.</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Expand Our Focus in the Aerospace and Defense Industries</w:t>
      </w:r>
      <w:r>
        <w:rPr>
          <w:rFonts w:ascii="Times New Roman" w:cs="Times New Roman" w:eastAsia="Times New Roman" w:hAnsi="Times New Roman"/>
          <w:sz w:val="18"/>
          <w:szCs w:val="18"/>
          <w:color w:val="auto"/>
        </w:rPr>
        <w:t>. We believe that the introduction of next-generation airframes, aircraft engines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demand of private space flight has created an inherent demand for inspection, testing, machining and mechanical services required for the production of parts. The recent interest in the use of additive manufacturing techniques to create components also necessitates advanced inspection and testing solutions.</w:t>
      </w:r>
    </w:p>
    <w:p>
      <w:pPr>
        <w:spacing w:after="0" w:line="1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remain optimistic about the growth of the defense industry as the useful lives of legacy systems in the industry are extended and next generation systems are brought online. As a result, we are uniquely positioned to serve this industry by providing inspection and testing services to meet the demands of our customers.</w:t>
      </w:r>
    </w:p>
    <w:p>
      <w:pPr>
        <w:spacing w:after="0" w:line="9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Expand Our Focus in the Pipeline Integrity Industry. </w:t>
      </w:r>
      <w:r>
        <w:rPr>
          <w:rFonts w:ascii="Times New Roman" w:cs="Times New Roman" w:eastAsia="Times New Roman" w:hAnsi="Times New Roman"/>
          <w:sz w:val="18"/>
          <w:szCs w:val="18"/>
          <w:color w:val="auto"/>
        </w:rPr>
        <w:t>We intend to continue broadening our solutions for the pipeline market. Recent industry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expanded pipeline integrity management regulations, requiring pipeline owner/operators to inspect, document, and assess the risk of operating conditions for existing lines. This provides us with the opportunity to provide asset protection solutions for both the new construction and integrity phases. In 2019, we acquired a company that provides pipeline integrity management software and services to energy transportation companies. We acquired an inline inspection provider in 2018 and have implemented our PCMS software for several pipeline operators to support their integrity data management. These digital assets increase our ability to provide meaningful insights to customers in an efficient manner that creates value to our customers, which many of our competitors are unable to offer.</w:t>
      </w:r>
    </w:p>
    <w:p>
      <w:pPr>
        <w:spacing w:after="0" w:line="11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Expanding our Mechanical Services Portfolio. </w:t>
      </w:r>
      <w:r>
        <w:rPr>
          <w:rFonts w:ascii="Times New Roman" w:cs="Times New Roman" w:eastAsia="Times New Roman" w:hAnsi="Times New Roman"/>
          <w:sz w:val="18"/>
          <w:szCs w:val="18"/>
          <w:color w:val="auto"/>
        </w:rPr>
        <w:t>We believe that performing mechanical services to complement inspections, such as removing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reapplying insulation or preparing surfaces for coating or painting, is an important market differentiator for us. This is particularly true, for example, when considering the cost-efficiencies our customers realize when our rope access technicians perform these services at height without the use of scaffolding. Many of our customers already require these services, but utilize multiple vendors to do so, creating an opportunity for us to provide greater value to a customer base that increasingly requires enhanced speed and efficiency.</w:t>
      </w:r>
    </w:p>
    <w:p>
      <w:pPr>
        <w:spacing w:after="0" w:line="11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Continue to Develop Technology-Enabled and Digital Asset Protection Solutions</w:t>
      </w:r>
      <w:r>
        <w:rPr>
          <w:rFonts w:ascii="Times New Roman" w:cs="Times New Roman" w:eastAsia="Times New Roman" w:hAnsi="Times New Roman"/>
          <w:sz w:val="18"/>
          <w:szCs w:val="18"/>
          <w:color w:val="auto"/>
        </w:rPr>
        <w:t>. We intend to maintain and enhance our technological leadership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to invest in developing new technology, applications and data services. The release of our OneSuite ecosystem underscores our dedication to continue deepening synergies between our solutions to provide our customers with uniquely-integrated offerings, which we believe makes us a more attractive partner for customers seeking to centralize their asset protection. We have actively continued to develop technologies that enhance the flow of data throughout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operational phases and facilities, through our integrated pipeline integrity data portfolio, and our cloud-based monitoring data portal.</w:t>
      </w:r>
    </w:p>
    <w:p>
      <w:pPr>
        <w:spacing w:after="0" w:line="14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focus is to provide our customers with a comprehensive solution for all of their asset protection needs. As several of the industries in which we serve face cost pressures, we continue to position ourselves to be a trusted partner to improve our customers' operational efficiency by reducing their costs and increasing the uptime for their assets, while remaining compliant with regulatory standards. We achieve this through a number of our services, including software, data services, engineering &amp; consulting, providing sensors and real-time continuous monitoring services. When customers chose to use a variety of these services we are able to reduce their annual maintenance budgets by optimizing uptime for their assets. We are focused on further developing our services to help differentiate us against our competitors. We are also focused on expanding our customer base to provide our services and address the needs of customers in the industries we serve and industries we are looking to expand into in the future.</w:t>
      </w:r>
    </w:p>
    <w:p>
      <w:pPr>
        <w:spacing w:after="0" w:line="12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Expand our Solution Offerings to Existing Customers</w:t>
      </w:r>
      <w:r>
        <w:rPr>
          <w:rFonts w:ascii="Times New Roman" w:cs="Times New Roman" w:eastAsia="Times New Roman" w:hAnsi="Times New Roman"/>
          <w:sz w:val="18"/>
          <w:szCs w:val="18"/>
          <w:color w:val="auto"/>
        </w:rPr>
        <w:t>. We believe that branching into adjacent, complementary services, such as mechanical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our value proposition and our ability to capture additional business. Many of our customers are multinational corporations with asset protection requirements at multiple locations. We believe that expanding our solution offerings and merging and visualizing data across facilities for enterprise data analysis, combined with the trend of customers outsourcing asset protection to service providers with integrated offerings, provides opportunities for significant additional recurring revenues. We continue to remain focused on further developing our inspection and testing services to our current customer base and diversifying the end markets we serve. We are also focused on growing our capabilities and services that can provide a stronger value proposition to our customers.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Continue to Expand Our Customer Base into New End Markets</w:t>
      </w:r>
      <w:r>
        <w:rPr>
          <w:rFonts w:ascii="Times New Roman" w:cs="Times New Roman" w:eastAsia="Times New Roman" w:hAnsi="Times New Roman"/>
          <w:sz w:val="18"/>
          <w:szCs w:val="18"/>
          <w:color w:val="auto"/>
        </w:rPr>
        <w:t>. We believe we have significant opportunities to expand our customer base in relatively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end markets, including the renewable energy industry, specifically, wind and other alternative energy, natural gas transportation industries, data centers, pipeline integrity and additive manufacturing. The expansion of our addressable markets is being driven by the increased recognition and adoption of advanced asset protection technologies (such as unmanned drone inspection devices, robotics, etc.) that are supplanting traditional methods.</w:t>
      </w:r>
    </w:p>
    <w:p>
      <w:pPr>
        <w:spacing w:after="0" w:line="112" w:lineRule="exact"/>
        <w:rPr>
          <w:sz w:val="20"/>
          <w:szCs w:val="20"/>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i w:val="1"/>
          <w:iCs w:val="1"/>
          <w:color w:val="auto"/>
        </w:rPr>
        <w:t>Capitalize on Acquisitions</w:t>
      </w:r>
      <w:r>
        <w:rPr>
          <w:rFonts w:ascii="Times New Roman" w:cs="Times New Roman" w:eastAsia="Times New Roman" w:hAnsi="Times New Roman"/>
          <w:sz w:val="18"/>
          <w:szCs w:val="18"/>
          <w:color w:val="auto"/>
        </w:rPr>
        <w:t>. We have completed several acquisitions to supplement and enhance our solutions, add new customers, expand our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 and accelerate our expected growth. Due to our focus on organic revenue growth and restrictions related to the debt covenants in our credit facility, we do not expect to make any acquisitions in 2025 other than small acquisitions with the approval from the lenders under our credit facility. However, we expect to make selective acquisitions beyond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operating segments: (i) North America, (ii) International and (iii) Products and Systems:</w:t>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with the largest concentration in the United States, followed by Canada, consisting primarily of NDT,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 in-laboratory testing, mechanical and engineering services that are used to evaluate the structural integrity and reliability of critical energy, industrial and public infrastructure and commercial aerospace components. Software, digital and data analytical solutions and services are included in this segment.</w:t>
      </w:r>
    </w:p>
    <w:p>
      <w:pPr>
        <w:spacing w:after="0" w:line="20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 Asia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South America, which are served by the Products and Systems segment.</w:t>
      </w:r>
    </w:p>
    <w:p>
      <w:pPr>
        <w:spacing w:after="0" w:line="91"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monitoring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 xml:space="preserve">For a discussion of segment revenues, operating results and other financial information, including geographic areas in which we generated revenues, see “Management’s Discussion and Analysis of Financial Condition and Results of Operations” in Item 7, as well as Note </w:t>
      </w:r>
      <w:r>
        <w:rPr>
          <w:rFonts w:ascii="Times New Roman" w:cs="Times New Roman" w:eastAsia="Times New Roman" w:hAnsi="Times New Roman"/>
          <w:sz w:val="18"/>
          <w:szCs w:val="18"/>
          <w:i w:val="1"/>
          <w:iCs w:val="1"/>
          <w:color w:val="auto"/>
        </w:rPr>
        <w:t>2-Revenue</w:t>
      </w:r>
      <w:r>
        <w:rPr>
          <w:rFonts w:ascii="Times New Roman" w:cs="Times New Roman" w:eastAsia="Times New Roman" w:hAnsi="Times New Roman"/>
          <w:sz w:val="18"/>
          <w:szCs w:val="18"/>
          <w:color w:val="auto"/>
        </w:rPr>
        <w:t xml:space="preserve"> and Note </w:t>
      </w:r>
      <w:r>
        <w:rPr>
          <w:rFonts w:ascii="Times New Roman" w:cs="Times New Roman" w:eastAsia="Times New Roman" w:hAnsi="Times New Roman"/>
          <w:sz w:val="18"/>
          <w:szCs w:val="18"/>
          <w:i w:val="1"/>
          <w:iCs w:val="1"/>
          <w:color w:val="auto"/>
        </w:rPr>
        <w:t>19-Segment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w:t>
      </w:r>
      <w:r>
        <w:rPr>
          <w:rFonts w:ascii="Times New Roman" w:cs="Times New Roman" w:eastAsia="Times New Roman" w:hAnsi="Times New Roman"/>
          <w:sz w:val="18"/>
          <w:szCs w:val="18"/>
          <w:color w:val="auto"/>
        </w:rPr>
        <w:t>in the notes to our audited consolidated financial statements in Item 8 of this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Industry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charts represent our disaggregated revenue by industry for the years ended December 31, 2024, 2023 and 2022.</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4714875" cy="6060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14875" cy="606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5254625" cy="3257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Target Markets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operate in a highly competitive, but fragmented market. Domestically, the market is serviced by several national competitors and many regional and/or local companies. Internationally, our primary competitors are divisions of large companies, with additional competition from small independent local companies which may be limited to a specific product, service or technology and focused on a niche market or geographic region. We focus our strategic sales, marketing and product development efforts on a range of infrastructure-intensive based industries and governmental authorities. We view energy-related infrastructure and commercial aerospace as our largest market opportunities. We perform inspection and mechanical services for customers in both industries.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revenues are comprised of services offerings at our laboratories and at customer facilities. Data Analytical Solutions revenues are comprised of revenue derived from data software sales &amp; subscriptions, implementation services and analytics that offer insights and recommendations to improve asset integrity. Data Analytical Solutions revenue is derived from work performed by our employees in our facilities, or at customer locations, using our proprietary portfolio of software applications. Field Services revenue is comprised of revenue derived primarily by technicians performing asset inspections and maintenance services for our customers at locations other than our properties. Shop Laboratory revenue is comprised of quality assurance inspections of components and materials at our in-house laboratory facilities. Other revenue is comprised of locations that perform both asset inspection services and testing of components and materials at our in-house laboratories.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economic factors which drive the aerospace market, including:</w:t>
      </w:r>
    </w:p>
    <w:p>
      <w:pPr>
        <w:spacing w:after="0" w:line="50" w:lineRule="exact"/>
        <w:rPr>
          <w:sz w:val="20"/>
          <w:szCs w:val="20"/>
          <w:color w:val="auto"/>
        </w:rPr>
      </w:pPr>
    </w:p>
    <w:p>
      <w:pPr>
        <w:ind w:left="660" w:right="50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multi-year backlog for next generation commercial aircraft to be built, including several large and mid-sized aircraft built by Boeing and Airbus, among other manufacturers;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of private space and increased number of launches for future space exploration; and</w:t>
      </w:r>
    </w:p>
    <w:p>
      <w:pPr>
        <w:spacing w:after="0" w:line="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continuing regulatory scrutiny to ensure public safety ensures the continued need for inspection and mechanical services to be performed.</w:t>
      </w:r>
    </w:p>
    <w:p>
      <w:pPr>
        <w:spacing w:after="0" w:line="19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the energy market, there are various economic indicators that drive our business, especially in the U.S. domestic markets. It is unclear what the short-and long-term effects of the war between Russia and Ukraine are likely to have on the world economy and certain of our target markets, including particularly the oil and gas market. Excerpted below are forecasts from various Energy Information Administration ("EIA") outlook reports, which are subject to change based on these factors: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Electricity generation from coal is projected to continue to fall throughout the mid to late 2020s and the decrease will be partially offset by an increase in the forecast of combined utility-scale solar and wind generation, along with other sources.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EIA noted U.S. crude oil production averaged 11.9 million barrels per day (bpd) in 2022, rose to an average 12.9 million bpd in 2023 and rose again in 2024 to an average 13.2 million bpd in 2024. The EIA forecasts production to continue to increase to an average of 13.5 million bpd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We supply oil and gas asset protection solutions to downstream (refining), midstream (transportation and storage) and upstream (exploration and production) operations of our customers.</w:t>
      </w:r>
    </w:p>
    <w:p>
      <w:pPr>
        <w:spacing w:after="0" w:line="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use our vast solutions portfolio to help identify current and future asset performance, and actively prevent, mitigate or otherwise address potential issues, including corrosion, cracking, leaking and other damages that may lead to safety, productivity or environmental concerns. Our solutions help identify conditions that if not remedied, could lead to potential catastrophic failures in tanks, vessels, valves, buried and above ground pipelines, pumps, motors, compressors and other critical assets found throughout the oil and gas production and delivery supply chain.</w:t>
      </w:r>
    </w:p>
    <w:p>
      <w:pPr>
        <w:spacing w:after="0" w:line="1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actively seek to evolve our solutions through technological enhancements and research and development to discover new applications. Online monitoring and permanently-mounted sensors, as well as the use of drones and other alternative delivery devices, are all being considered as oil and gas infrastructure owners look to “smart” technologies that reduce human intervention, while delivering highly-accurate inspection and integrity data. We also have actively sought to further enhance our integrated approach to asset protection, through the development of our complementary mechanical service portfolio.</w:t>
      </w:r>
    </w:p>
    <w:p>
      <w:pPr>
        <w:spacing w:after="0" w:line="11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general, the oil and gas market is poised to leverage digital solutions to facilitate process improvements as well as increase plant reliability and improve process and personnel safety. This provides an opportunity for us to synergistically leverage our digital asset protection solutions. Digital transmission of data in various industry sectors, with built-in analytic functions, will allow our customers to better leverage inspection data that is being generated in the field.</w:t>
      </w:r>
    </w:p>
    <w:p>
      <w:pPr>
        <w:spacing w:after="0" w:line="9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While we expect off-stream inspection of critical assets to remain a routine practice, we anticipate an increase in the demand for non-invasive or on-stream inspections. Non-invasive inspections enable companies to minimize the costs associated with shutting down equipment during testing, while enabling the economic and safety advantages of advanced planning and/or predictive maintenance.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Aerospace and Defense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aerospace industry continued to experience increased backlog and production levels in 2024, with such levels approaching and exceeding pre-COVID-19 levels for certain OEMs throughout 2024. We serve this rapidly growing target market by providing a full range of inspection, testing, machining, mechanical, finishing, additive manufacturing and equipment solutions, for which we are Nadcap certified. Our state-of-the-art in-house testing laboratories maintain numerous accreditations from industry organizations, including Nadcap, and some of the largest manufacturers in the world, such as Boeing, Safran, Airbus, Bombardier and Embraer.</w:t>
      </w:r>
    </w:p>
    <w:p>
      <w:pPr>
        <w:spacing w:after="0" w:line="1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Advanced composite materials found in new classes of aircraft require advanced asset protection solutions, including x-ray of critical engine components, ultrasonic fatigue testing of complete aircraft structures and corrosion detection and other critical components. Many OEMs are shifting towards condition-based maintenance utilizing embedded monitoring sensors to track component structural and operational integrity over time as opposed to performing maintenance on time-based intervals. We expect demand for our solutions to increase with the adoption of these new-age materials and distributed online sensor networks. We also expect demand for asset protection solutions to increase with the continued adoption of additive manufacturing techniques.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quality control requirements driven by the need for zero-to-low-defect component tolerance within automated, robotic-intensive industries such as automotive, consumer electronics and medical industries serve as key drivers for increased demand in asset protection, particularly for in-house inspection and testing. We expect that increasingly stringent quality-control requirements and competitive forces will drive the demand for more-costly finishing and polishing which, in turn, creates opportunities for integrated partnerships between us and our customers throughout the production lifecycle.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Generation and Transmission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provide asset protection solutions for customers in the combined cycle, fossil, nuclear, transmission and distribution and wind/alternative energy industries. We believe that in recent years, acceptance of asset protection solutions has grown in this industry due to the aging of critical power generation and transmission infrastructure.</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growing availability of cheap natural gas, along with environmental concerns with coal, has stimulated the construction of new natural gas-fired power plants across North America, creating opportunities for us to provide specialized solutions in multiple phases. These include facility design consultations, NDT services during construction and plant operations and long-term condition monitoring. We anticipate increased growth in these types of plants as natural gas pricing remains low, and the environmental impacts of coal remain unattractive to the public.</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also offer solutions for inspection, maintenance, monitoring and data services for wind turbines and their components. These include NDT services — often performed through rope and/or drone access — to identify corrosion, cracking, and other defects that can affect the safety and operational effectiveness of wind turbines, along with remedial solutions to repair minor damages identified during inspections.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Process Industries</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asset protection solutions are crucial for process industries, or industries in which raw materials are treated or prepared in a series of stages, including chemicals, pharmaceuticals, food processing, pulp and paper and metals and mining. As the process facilities are increasingly facing aging infrastructure, high utilization, growing capacity constraints and increasing capital costs, we believe asset protection solutions will continue to grow in importance in maintenance planning, quality and cost control and prevention of catastrophic failure.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Research and Engineering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high-profile infrastructure catastrophes have caused public authorities to more actively seek ways to prevent similar events from occurring. Public authorities tasked with new construction and maintenance of existing public infrastructure increasingly use asset protection solutions to inspect these assets, including the use of embedded sensors to enable online monitoring throughout the life of the asset.</w:t>
      </w:r>
    </w:p>
    <w:p>
      <w:pPr>
        <w:spacing w:after="0" w:line="9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provided testing and structural health monitoring and data analytical solutions on bridges and structures worldwide, including some of the largest and most well-known bridges in the United States and United Kingdom. Our sensors continuously monitor these assets, alerting owner/operators when defects are detected. Our monitoring teams also provide regular reports that include early warnings of suspect areas before an alarm is generated.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Petrochemical</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provide asset protection NDT services for customers within the petrochemical industry, as they transform byproducts into goods which are utilized in many end products such as plastics, soaps, fertilizers, synthetic fibers and rubber. Our solutions help identify conditions that if not remedied, could lead to potential catastrophic failures in tanks, vessels, valves, buried and above ground pipelines, pumps, motors, compressors and other critical assets found throughout the petrochemical production process.</w:t>
      </w:r>
    </w:p>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actively seek to evolve our solutions through technological enhancements and research and development ("R&amp;D") to discover new applications. Online monitoring and permanently-mounted sensors provide real-time data to petrochemical owners and operators and provide an opportunity for us to synergistically leverage our asset protection solutions into our platform, OneSuite. Digital transmission of data in various industry sectors, with built-in analytic functions, will allow our customers to better leverage inspection data that is being generated in the field. We also have actively sought to further enhance our integrated approach to asset protection, through the development of our complementary mechanical service portfolio.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provide our asset protection solutions to a global customer base of diverse companies primarily in our target markets. No customer represented 10% or more of our revenue in any of the years ended December 31, 2024, 2023 or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Areas</w:t>
      </w:r>
    </w:p>
    <w:p>
      <w:pPr>
        <w:spacing w:after="0" w:line="25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We have operations in 11 countries and occasionally conduct business in a few other countries. Most of our revenues are derived from our U.S., Canadian and European operations and we do not have operations in Russia, and we do not do business in Russia, Ukraine or other areas which are impacted by the on going war between Russian and Ukraine. See Note </w:t>
      </w:r>
      <w:r>
        <w:rPr>
          <w:rFonts w:ascii="Times New Roman" w:cs="Times New Roman" w:eastAsia="Times New Roman" w:hAnsi="Times New Roman"/>
          <w:sz w:val="18"/>
          <w:szCs w:val="18"/>
          <w:i w:val="1"/>
          <w:iCs w:val="1"/>
          <w:color w:val="auto"/>
        </w:rPr>
        <w:t>2-Revenue</w:t>
      </w:r>
      <w:r>
        <w:rPr>
          <w:rFonts w:ascii="Times New Roman" w:cs="Times New Roman" w:eastAsia="Times New Roman" w:hAnsi="Times New Roman"/>
          <w:sz w:val="18"/>
          <w:szCs w:val="18"/>
          <w:color w:val="auto"/>
        </w:rPr>
        <w:t xml:space="preserve"> and Note </w:t>
      </w:r>
      <w:r>
        <w:rPr>
          <w:rFonts w:ascii="Times New Roman" w:cs="Times New Roman" w:eastAsia="Times New Roman" w:hAnsi="Times New Roman"/>
          <w:sz w:val="18"/>
          <w:szCs w:val="18"/>
          <w:i w:val="1"/>
          <w:iCs w:val="1"/>
          <w:color w:val="auto"/>
        </w:rPr>
        <w:t>19-Segment Disclosure</w:t>
      </w:r>
      <w:r>
        <w:rPr>
          <w:rFonts w:ascii="Times New Roman" w:cs="Times New Roman" w:eastAsia="Times New Roman" w:hAnsi="Times New Roman"/>
          <w:sz w:val="18"/>
          <w:szCs w:val="18"/>
          <w:color w:val="auto"/>
        </w:rPr>
        <w:t xml:space="preserve"> to our audited consolidated financial statements in this Annual Report for further disclosure of our revenues, long-lived assets and other financial information regarding our international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sell our asset protection solutions through our direct sales and marketing activities worldwide. In addition, our project and laboratory managers, as well as our management, are trained on our solutions and often are the source of sales leads and customer contacts. Our direct sales and marketing teams work closely with our customers to demonstrate the benefits and capabilities of our asset protection solutions, refine our asset protection solutions based on changing market and customer needs and identify potential opportunities. We divide our sales and marketing efforts into services sales, products and systems sales and marketing and utilize marketing automation and customer relationship management ("CRM") systems to collect, manage and collaborate customer information with our teams globally. Our CRM systems also provide critical data to provide accurate forecasting and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our hardware products are manufactured in our Princeton Junction, New Jersey facility. This facility includes the capabilities and personnel to fully produce all of our AE products and NDT Automation Ultrasonic equipment. We also design and manufacture automated ultrasonic systems and scanners in France.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4,800 employees worldwide, of which 3,200 were located in the United States, 500 in Canada and 1,100 in our other non-U.S. locations. Our employees include full, part time and contract employees throughout our organization. As described below, we value our employees and have established various programs to promote the satisfaction, health and safety of our employees. Less than 0.01% of our employees in the United States are unionized.</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employees are key to achieving our goals and strategy. We have committed resources throughout our organization to ensure that we are attracting, developing, and retaining talented employees needed to support all aspects of our activities. Our core values and business ethics guide and direct all activities undertaken by us.</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health and safety of our employees is paramount. We have also developed key initiatives and strategies regarding our talent and people initiatives. Below, we describe some of the key initiatives and values around health and safety. Management regularly updates our board of directors (the "Board") with regards to our safety and employee strategy and our performance in these areas. In 2020, our Board established the Environmental, Social and Safety Committee. This Committee, which consists of independent directors, monitors and oversees the strategic direction of our initiatives in support of our core values and our environmental, social and governance initiatives.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Leadership and Employee Development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development and engagement begins with our senior management team, which has considerable industry experience and expertise.</w:t>
      </w:r>
    </w:p>
    <w:p>
      <w:pPr>
        <w:spacing w:after="0" w:line="25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provide employees the ability to gain additional professional certifications to contribute to their career advancement. We utilize a web-based training center which is available to field technicians for career advancement and includes over 500 web-based classes. In addition, we are committed to ensuring all employees are compensated at a living wage. All local minimum wage requirements are met and where no wage laws are in place, employees are compensated competitively, in accordance with industry standards.</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human rights policy places a high priority on diversity and equal opportunity and provides our employees with management’s expectations related to human rights and labor practices.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instituted a program that focuses on our connection by a common thread of caring – about one another, our customers, the environment, and the work we do. We seek to foster a culture of togetherness, safety, respect, and contribution, which enables each individual member of our Company to feel that he or she is a part of something bigger. A community of caring professionals with a genuine passion for helping people and making a difference together – that is the heart of the program we call “Caring Connects.”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Safety-Conscious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We consider safety the backbone of our operations. Our asset protection solutions aim to ensure that industrial assets and facilities remain in safe, reliable working condition, which in turn enhances safety for our customers, the public, and the environment. Our laboratory and field personnel are trained to operate according to strict safety and quality standards so that our processes and procedures regarding hazardous materials, worker safety, and accident prevention are sound and effective. Further to this, we are constantly evaluating these processes and procedures to ensure that they remain of high quality and are effective. We also consider changes in the manner in which work is performed as a result of lessons that have been learned from any sources, such as industry data. We work to help ensure that our customers are in full compliance with all federal, state, and local regulations. Our practices, policies and procedures are designed to help ensure we perform our duties through the use of safe, industry-best practices, seeking to minimize risk wherever possible.</w:t>
      </w:r>
    </w:p>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emphasize a “MISTRAS’ safety-conscious” culture with the intent that it becomes embedded in the day-to-day work of all our employees. We use various training tools and other practices to instill attitudes, beliefs, perceptions, and values that all employees share in the mandate to create and maintain a safe work environment for all.</w:t>
      </w:r>
    </w:p>
    <w:p>
      <w:pPr>
        <w:spacing w:after="0" w:line="20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continuously monitor our safety performance through analysis of our company-wide safety statistics, which help us to determine behavioral trends while also instilling a culture of proactivity. For the year ended December 31, 2024, our Total Recordable Incident Rate ("TRIR") was 0.19 while Days Away, Restricted and Transferred Rate was 0.06 and Lost Work Day Rate was 0.03. For the year ended December 31, 2023, our TRIR was 0.3.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business is seasonal. This seasonality relates primarily to our oil and gas target market, and to a lesser extent within our other target markets. U.S. refineries’ non-peak periods are generally in the fall, when they are retooling to produce more heating oil for winter, and in the spring, when they are retooling to produce more gasoline for summer. The peak periods for these customers are the summer and winter months, when they run at peak capacity and are not retooling or performing turnarounds or shut downs. As a result, our revenues in the summer and winter months are typically lower than our revenues in the fall and spring, when demand for our asset protection solutions from the oil and gas as well as the fossil power industries increases during their non-peak production periods. Because we are increasing our work in the fall and spring, our cash flows are lower in those quarters than in the summer and winter, as collections of receivables lag behind revenues. We expect that this seasonality will continue.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in a highly competitive, but fragmented, market. Our primary competitors include large public and private companies, divisions of large companies and various small companies which generally are limited to a specific product or technology and focused on a niche market or geographic region. We believe that few, if any, of our competitors currently provide the full range of asset protection and NDT products, PCMS and the traditional and advanced services solutions that we offer. Our competition with respect to NDT services include Acuren, SGS Group, the Team IHT Segment and APPLUS RTD. Our competition with respect to PCMS includes UltraPIPE, Lloyd’s Register Capstone, Inc. and Meridium Systems. In the traditional NDT market, we believe the principal competitive factors include project management, availability of qualified personnel, execution, price, reputation and quality, whereas in the advanced NDT market, reputation, quality and size tend to be the most significant competitive factors. We believe that the NDT market has significant barriers to entry which would make it difficult for new competitors to enter the market. These barriers include: (i) having to acquire or develop advanced NDT services, products and systems technologies, which in our case occurred over many years of customer engagements and at significant internal research and development expense, (ii) complex regulations and safety codes that require significant industry experience, (iii) license requirements and evolved quality and safety programs, (iv) costly and time-consuming certification processes, (v) capital requirements and (vi) emphasis by large customers on size and critical mass, length of relationship and past service record.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R&amp;D is principally conducted by engineers and scientists at our Princeton Junction, New Jersey headquarters, and supplemented by other employees in the United States and throughout the world, including Canada, France, Greece the United Kingdom, Brazil and the Netherlands. Our total professional staff includes employees who hold Ph.D.’s and engineers and employees who hold Level III certification, the highest level of certification from the American Society of Non-Destructive Testing ("ASNT").</w:t>
      </w:r>
    </w:p>
    <w:p>
      <w:pPr>
        <w:spacing w:after="0" w:line="1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make strategic R&amp;D investments in our data analytical solutions technologies that support integration with our other solution offerings to enhance cost-and time-efficiencies, maximize uptime and safety and improve the flow of data from field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technicians to inspection databases. These strategic investments enable us to enhance our service offerings to customers and provide valuable insights and predictive analysis.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also invested significant research and development in pre-machining and advanced testing technologies in a purpose-built facility for an aerospace customer, with the goal of reducing the customer’s production cycle logistics and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work with customers to develop new products or applications for our technology, including:</w:t>
      </w:r>
    </w:p>
    <w:p>
      <w:pPr>
        <w:spacing w:after="0" w:line="15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new composites;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Detecting crack propagation;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and communications technologies;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permanently embedded inspection systems to provide continuous, online, in-service monitoring of critical structural components.</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reflected in our Consolidated Statements of Income (Loss) as research and engineering expenses. Our company-sponsored research and engineering expenses were approximately $1.1 million, $1.7 million and $2.0 million for the years ended December 31, 2024, 2023 and 2022, respectively. While we have historically funded most of our research and development expenditures, from time to time we also receive customer-sponsored research and development funding. Most of the projects are in our target markets, however, a few of the projects could lead to other future market opportunities.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2024, we held 12 U.S. patents by direct ownership and had 5 patent applications pending in the United States. All the patent applications pending have been filed since 2018. While we do not rely on these patents or licenses to provide a majority of our proprietary asset protection solutions, certain of these patents do provide us with a competitive advantage and we believe they will be an asset to our growth strategy. Our trademarks and service marks provide us and our solutions with a certain amount of brand recognition in our markets. We do not consider any single patent, trademark or service mark material to our financial condition or results of operations.</w:t>
      </w:r>
    </w:p>
    <w:p>
      <w:pPr>
        <w:spacing w:after="0" w:line="102" w:lineRule="exact"/>
        <w:rPr>
          <w:sz w:val="20"/>
          <w:szCs w:val="20"/>
          <w:color w:val="auto"/>
        </w:rPr>
      </w:pPr>
    </w:p>
    <w:p>
      <w:pPr>
        <w:jc w:val="both"/>
        <w:ind w:right="80"/>
        <w:spacing w:after="0" w:line="235" w:lineRule="auto"/>
        <w:rPr>
          <w:sz w:val="20"/>
          <w:szCs w:val="20"/>
          <w:color w:val="auto"/>
        </w:rPr>
      </w:pPr>
      <w:r>
        <w:rPr>
          <w:rFonts w:ascii="Times New Roman" w:cs="Times New Roman" w:eastAsia="Times New Roman" w:hAnsi="Times New Roman"/>
          <w:sz w:val="18"/>
          <w:szCs w:val="18"/>
          <w:color w:val="auto"/>
        </w:rPr>
        <w:t>As of December 31, 2024, the primary trademarks and service marks that we held in the United States included MISTRAS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stylized globe design and our tag line "One Source for Asset Protection Solutions". Other key trademarks or service marks that we utilize in localized markets or product advertising include:</w:t>
      </w:r>
    </w:p>
    <w:p>
      <w:pPr>
        <w:spacing w:after="0" w:line="13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Onstream® (word and logo)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PCMS® (word and logo)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Ropeworks®</w:t>
      </w:r>
    </w:p>
    <w:p>
      <w:pPr>
        <w:spacing w:after="0" w:line="9" w:lineRule="exact"/>
        <w:rPr>
          <w:rFonts w:ascii="Times New Roman" w:cs="Times New Roman" w:eastAsia="Times New Roman" w:hAnsi="Times New Roman"/>
          <w:sz w:val="18"/>
          <w:szCs w:val="18"/>
          <w:color w:val="auto"/>
        </w:rPr>
      </w:pPr>
    </w:p>
    <w:p>
      <w:pPr>
        <w:ind w:left="660" w:hanging="328"/>
        <w:spacing w:after="0" w:line="19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MISTRAS Digital</w:t>
      </w:r>
      <w:r>
        <w:rPr>
          <w:rFonts w:ascii="Times New Roman" w:cs="Times New Roman" w:eastAsia="Times New Roman" w:hAnsi="Times New Roman"/>
          <w:sz w:val="23"/>
          <w:szCs w:val="23"/>
          <w:color w:val="auto"/>
          <w:vertAlign w:val="superscript"/>
        </w:rPr>
        <w: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OneSuite™</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Sensoria™</w:t>
      </w:r>
    </w:p>
    <w:p>
      <w:pPr>
        <w:spacing w:after="0" w:line="9" w:lineRule="exact"/>
        <w:rPr>
          <w:rFonts w:ascii="Times New Roman" w:cs="Times New Roman" w:eastAsia="Times New Roman" w:hAnsi="Times New Roman"/>
          <w:sz w:val="18"/>
          <w:szCs w:val="18"/>
          <w:color w:val="auto"/>
        </w:rPr>
      </w:pPr>
    </w:p>
    <w:p>
      <w:pPr>
        <w:ind w:left="640" w:hanging="308"/>
        <w:spacing w:after="0" w:line="196" w:lineRule="auto"/>
        <w:tabs>
          <w:tab w:leader="none" w:pos="6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OneSource™</w:t>
      </w:r>
    </w:p>
    <w:p>
      <w:pPr>
        <w:spacing w:after="0" w:line="1"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CALIPERAY™ (word and logo)</w:t>
      </w:r>
    </w:p>
    <w:p>
      <w:pPr>
        <w:spacing w:after="0" w:line="7" w:lineRule="exact"/>
        <w:rPr>
          <w:rFonts w:ascii="Times New Roman" w:cs="Times New Roman" w:eastAsia="Times New Roman" w:hAnsi="Times New Roman"/>
          <w:sz w:val="18"/>
          <w:szCs w:val="18"/>
          <w:color w:val="auto"/>
        </w:rPr>
      </w:pPr>
    </w:p>
    <w:p>
      <w:pPr>
        <w:ind w:left="640" w:hanging="308"/>
        <w:spacing w:after="0" w:line="196" w:lineRule="auto"/>
        <w:tabs>
          <w:tab w:leader="none" w:pos="6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Physical Acoustics PAC logo</w:t>
      </w:r>
    </w:p>
    <w:p>
      <w:pPr>
        <w:spacing w:after="0" w:line="1"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Streamview™</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 Highway™</w:t>
      </w:r>
    </w:p>
    <w:p>
      <w:pPr>
        <w:spacing w:after="0" w:line="9" w:lineRule="exact"/>
        <w:rPr>
          <w:rFonts w:ascii="Times New Roman" w:cs="Times New Roman" w:eastAsia="Times New Roman" w:hAnsi="Times New Roman"/>
          <w:sz w:val="18"/>
          <w:szCs w:val="18"/>
          <w:color w:val="auto"/>
        </w:rPr>
      </w:pPr>
    </w:p>
    <w:p>
      <w:pPr>
        <w:ind w:left="660" w:hanging="328"/>
        <w:spacing w:after="0" w:line="19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TankPAC</w:t>
      </w:r>
      <w:r>
        <w:rPr>
          <w:rFonts w:ascii="Times New Roman" w:cs="Times New Roman" w:eastAsia="Times New Roman" w:hAnsi="Times New Roman"/>
          <w:sz w:val="23"/>
          <w:szCs w:val="23"/>
          <w:color w:val="auto"/>
          <w:vertAlign w:val="superscript"/>
        </w:rPr>
        <w: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VPAC™</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Transformer Clinic™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FieldCal™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UTwin®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AEwin®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Pocket AE®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Pocket UT®</w:t>
      </w:r>
    </w:p>
    <w:p>
      <w:pPr>
        <w:spacing w:after="0" w:line="2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Many elements of our asset protection solutions involve proprietary know-how, technology or data that are not covered by patents or patent applications because they are not patentable or would be difficult to enforce, including technical processes,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algorithms and procedures. We believe that this proprietary know-how, technology and data is the most important component of our intellectual property used in our asset protection solutions and is a primary differentiator of our solutions from those of our competitors. We rely on various trade secret protection techniques and agreements with our customers, service providers and vendors to protect these assets. All of our employees are subject to confidentiality requirements through our employee handbook. In addition, many of our employees have entered into confidentiality and proprietary information agreements with us. Our employee handbook and these agreements require our employees not to use or disclose our confidential information and to assign to us all the inventions, designs and technologies they develop during the course of employment with us, as well as addressing other intellectual property protection issues. We also seek confidentiality agreements from our customers and business partners before we disclose any sensitive aspects of our technologies or business strategies. We are not currently involved in any material intellectual property claims.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and applicable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text sets forth our executive officers for the year ended December 31, 2024 and their background and experience.</w:t>
      </w:r>
    </w:p>
    <w:p>
      <w:pPr>
        <w:spacing w:after="0" w:line="43"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40" w:type="dxa"/>
            <w:vAlign w:val="bottom"/>
          </w:tcPr>
          <w:p>
            <w:pPr>
              <w:ind w:left="30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Manuel N. Stamatakis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Natalia Shuman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J. Prajzner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Hani Hammad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Gennaro D'Alterio</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Commercial Officer</w:t>
            </w: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C. Keefe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A. Smith</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President of Services***</w:t>
            </w:r>
          </w:p>
        </w:tc>
      </w:tr>
    </w:tbl>
    <w:p>
      <w:pPr>
        <w:spacing w:after="0" w:line="7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*On December 5, 2024, our Board, in furtherance of its management succession planning, appointed Natalia Shuman, as the Company’s President and Chief Executive Officer, and Mr. Stamatakis will continue as the Executive Chairman of the Company effective as of January 1, 2025. Mr. Stamatakis served as our Chairman of the Board and Interim President and Chief Executive Officer until December 31, 2024.</w:t>
      </w:r>
    </w:p>
    <w:p>
      <w:pPr>
        <w:spacing w:after="0" w:line="200"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**On December 12, 2024, we announced the appointment of Hani Hammad to the position of Executive Vice President and Chief Operating Officer effective as of January 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 February 7, 2025, we terminated the employment of John A. Smith, our Executive Vice President and President of Services.</w:t>
      </w:r>
    </w:p>
    <w:p>
      <w:pPr>
        <w:spacing w:after="0" w:line="25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i w:val="1"/>
          <w:iCs w:val="1"/>
          <w:color w:val="auto"/>
        </w:rPr>
        <w:t xml:space="preserve">Manuel "Manny" N. Stamatakis </w:t>
      </w:r>
      <w:r>
        <w:rPr>
          <w:rFonts w:ascii="Times New Roman" w:cs="Times New Roman" w:eastAsia="Times New Roman" w:hAnsi="Times New Roman"/>
          <w:sz w:val="18"/>
          <w:szCs w:val="18"/>
          <w:color w:val="auto"/>
        </w:rPr>
        <w:t>joined our Board in 2002, became the Chair of the Governance Committee as well as a member of the Audit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Compensation Committee in 2009 and Lead Director in 2010. On October 9, 2023, Mr. Stamatakis became the Chairman of the Board, and on the same day became our Interim President Chief Executive Officer to replace our prior President and Chief Executive Officer, Dennis Bertolotti. At that same time, Mr. Stamatakis resigned from all the committees of the Board and as our lead director. Mr. Stamatakis currently chairs the Project Phoenix Steering Committee, an initiative for which he is both the chief architect and driving force.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accomplished entrepreneur for over 30 years, Mr. Stamatakis is an executive officer of Capital Management Enterprises, Inc., a financial services and</w:t>
      </w:r>
    </w:p>
    <w:p>
      <w:pPr>
        <w:spacing w:after="0" w:line="5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employee benefits consulting firm based in Pennsylvania. Mr. Stamatakis has held multiple board and chairmanship positions over the years, including Chairman of the Delaware River Port Authority, The Drexel College of Medicine, the Pennsylvania Supreme Court Investment Advisory Board, and the Philadelphia Shipyard Development</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Corporation which was the catalyst to bringing shipbuilding back to the Philadelphia region. He earned a B.S. in Industrial Engineering from Pennsylvania State University and received an honorary Doctor of Business Administration from Drexel University.</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Natalia Shuman </w:t>
      </w:r>
      <w:r>
        <w:rPr>
          <w:rFonts w:ascii="Times New Roman" w:cs="Times New Roman" w:eastAsia="Times New Roman" w:hAnsi="Times New Roman"/>
          <w:sz w:val="18"/>
          <w:szCs w:val="18"/>
          <w:color w:val="auto"/>
        </w:rPr>
        <w:t>joined Mistras as President and Chief Executive Officer, effective January 1, 2025. Prior to joining the Company, from October 2021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2024, Ms. Shuman was an executive at Eurofins Scientific Group (“Eurofins), a global leader in the testing, inspection, and certification (“TIC”) industry. Ms. Shuman served as Executive Vice President - Europe and Asia and as President - Biopharma and AgTech Services at Eurofins, and also served as a member of the Group Operating Council during her tenure at Eurofins, where she led over 12,000 employees, driving growth strategies, operational excellence, and strategic value creation. Prior to joining Eurofins, Ms. Shuman served from April 2017 to September 2021 as the Chief Executive Officer of Bureau Veritas - North America, Inc. (“Bureau Veritas”), also a leader in the TIC industry, where she oversaw approximately 7,000 employees, 130 branches and laboratories across the US, Canada and Mexico and served on the Bureau Veritas’s Group Executive Committee.</w:t>
      </w:r>
    </w:p>
    <w:p>
      <w:pPr>
        <w:spacing w:after="0" w:line="21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Prior to joining Bureau Veritas, Ms. Shuman spent over 20 years at Kelly Services, a U.S.-based staffing and human resources outsourcing company. At Kelly Services, Ms. Shuman served as a head of international business, overseeing Asia Pacific and EMEA regions and led large accounts operations serving Kelly Services’ customers. Ms. Shumans’s 20+ year tenure at Kelly Services included progressive leadership positions in New York, and several international assignments including leading Kelly Services’s joint venture with a Japanese staffing company, the largest in North Asia. On behalf of Kelly Services, Ms. Shuman served on the board of directors of the World Employment Confederation in Brussels during part of her time at Kelly Services. Ms. Shuman received a dual Master of Business Administration ("MBA") from Columbia Business School and London Business School.</w:t>
      </w:r>
    </w:p>
    <w:p>
      <w:pPr>
        <w:spacing w:after="0" w:line="2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Edward J. Prajzner </w:t>
      </w:r>
      <w:r>
        <w:rPr>
          <w:rFonts w:ascii="Times New Roman" w:cs="Times New Roman" w:eastAsia="Times New Roman" w:hAnsi="Times New Roman"/>
          <w:sz w:val="18"/>
          <w:szCs w:val="18"/>
          <w:color w:val="auto"/>
        </w:rPr>
        <w:t>joined Mistras in January 2018 as our Senior Vice President, Chief Financial Officer and Treasurer, was subsequently promoted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and on March 26, 2023, was promoted to our Senior Executive Vice President and Chief Financial Officer. Prior to joining Mistras, Mr. Prajzner worked at CECO Environmental Corp., a global service provider to environmental, energy and filtration industries, and served as Chief Financial Officer and Secretary from 2014 to 2017, Vice President of Finance and Chief Accounting Officer from 2013 until his appointment as Chief Financial Officer in 2014, and Corporate Controller and Chief Accounting Officer from 2012 to 2013. Mr. Prajzner also served in senior finance roles at CDI Corporation (now AE Industrial Partners) and American Infrastructure (now Allan Myers). Mr. Prajzner began his career in public accounting at Ernst &amp; Young, received his B.S. in accountancy from Villanova University, his MBA in finance from Temple University and is a certified public accountant.</w:t>
      </w:r>
    </w:p>
    <w:p>
      <w:pPr>
        <w:spacing w:after="0" w:line="2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Hani Hammad </w:t>
      </w:r>
      <w:r>
        <w:rPr>
          <w:rFonts w:ascii="Times New Roman" w:cs="Times New Roman" w:eastAsia="Times New Roman" w:hAnsi="Times New Roman"/>
          <w:sz w:val="18"/>
          <w:szCs w:val="18"/>
          <w:color w:val="auto"/>
        </w:rPr>
        <w:t>joined Mistras as Executive Vice President and Chief Transformation Officer in March 2024. Effective January 1, 2025, Mr. Hammad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promoted to our Executive Vice President and Chief Operating Officer. As Chief Transformation Officer, Mr. Hammad oversaw the Company's Project Phoenix initiative which focused on identifying and implementing value-creation opportunities that enhanced the Company's profitability. Prior to joining Mistras, from January 2020 to March 2024, Mr. Hammad was a director at the global consultancy, AlixPartners, where he focused on leading operational and financial transformations within field service-oriented companies. Prior to joining AlixPartners, Mr. Hammad worked at PwC's Strategy &amp; focused on developing and implementing operational strategies for various oil &amp; gas companies. Mr. Hammad also held various key roles in manufacturing and supply chain management at Baker Hughes Company and General Electric Company. Mr. Hammad received a Master of Professional Studies in Supply Chain Management from Pennsylvania State University and a Bachelor of Science degree in Electrical Engineering from Louisiana Tech University.</w:t>
      </w:r>
    </w:p>
    <w:p>
      <w:pPr>
        <w:spacing w:after="0" w:line="21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Gennaro "Jerry" D'Alterio </w:t>
      </w:r>
      <w:r>
        <w:rPr>
          <w:rFonts w:ascii="Times New Roman" w:cs="Times New Roman" w:eastAsia="Times New Roman" w:hAnsi="Times New Roman"/>
          <w:sz w:val="18"/>
          <w:szCs w:val="18"/>
          <w:color w:val="auto"/>
        </w:rPr>
        <w:t>joined Mistras on September 11, 2023, as Executive Vice President and Chief Commercial Officer. Prior to joining Mistras,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D'Alterio most recently served as the Vice President of Product Management and Director, Global Business Development at CECO Environmental Corporation’s Fluid Handling &amp; Filtration segment, where he also held the positions of President and Global President. With over 20 years of proven executive leadership and demonstrated ability to drive both revenue growth and profitability, across a wide range of industries, Mr. D’Alterio excels at driving best-in-class commercial operating models and transformations while fostering success-oriented, winning cultures. Mr. D'Alterio holds an MBA and a Bachelor of Science in Mechanical Engineering from Villanova University. He is certified in LEAN enterprise and manufacturing, is member of the Hydraulic Institute and the International Desalination Association, and serves on the Board of the Aquatic Animal Life Support Operators organization.</w:t>
      </w:r>
    </w:p>
    <w:p>
      <w:pPr>
        <w:spacing w:after="0" w:line="21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Michael C. Keefe </w:t>
      </w:r>
      <w:r>
        <w:rPr>
          <w:rFonts w:ascii="Times New Roman" w:cs="Times New Roman" w:eastAsia="Times New Roman" w:hAnsi="Times New Roman"/>
          <w:sz w:val="17"/>
          <w:szCs w:val="17"/>
          <w:color w:val="auto"/>
        </w:rPr>
        <w:t>joined Mistras in December 2009. Prior to joining Mistras, Mr. Keefe worked at International Fight League, a then publicly-traded sports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promotion company, from 2007 until 2009, in various executive positions. From 1990 until 2006, Mr. Keefe served in various legal roles with Lucent Technologies and AT&amp;T, the last four years of which he served as Vice President, Corporate and Securities Law and Assistant Secretary. Mr. Keefe received a Bachelor of Science in Business Administration (Accounting) from Seton Hall University and a J.D. from Seton Hall University School of Law.</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John A. Smith </w:t>
      </w:r>
      <w:r>
        <w:rPr>
          <w:rFonts w:ascii="Times New Roman" w:cs="Times New Roman" w:eastAsia="Times New Roman" w:hAnsi="Times New Roman"/>
          <w:sz w:val="18"/>
          <w:szCs w:val="18"/>
          <w:color w:val="auto"/>
        </w:rPr>
        <w:t>joined Mistras in 2008 and has held various positions, including Vice President of Operations, then became Senior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in 2018 before becoming Executive Vice President and President of Services on October 1, 2023. Mr. Smith began his career as a NDT technician with CONAM Inspection and Engineering Services before launching his own business, Elite Inspection Services Company ("Elite"). He owned and operated Elite for 16 years, until Mistras acquired Elite in 2008. During his NDT career, Mr. Smith held multiple certifications from the American Society for Nondestructive Testing (ASNT).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Website and Available Information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www.mistrasgroup.com.</w:t>
      </w:r>
      <w:r>
        <w:rPr>
          <w:rFonts w:ascii="Times New Roman" w:cs="Times New Roman" w:eastAsia="Times New Roman" w:hAnsi="Times New Roman"/>
          <w:sz w:val="18"/>
          <w:szCs w:val="18"/>
          <w:color w:val="auto"/>
        </w:rPr>
        <w:t xml:space="preserve"> We file reports with the SEC, including Quarterly Reports on Form 10-Q, Annual Reports on Form 10-K, Current Reports on Form 8-K and Proxy Statements. All of the materials we file with or furnish to the SEC are available free of charge on our website at http://investors.mistrasgroup.com/sec.cfm, as soon as reasonably practicable after having been electronically submitted to the SEC. Information contained on or connected to our website is not incorporated by reference into this Annual Report and should not be considered part of this Annual Report or any other filing with the SEC. All of our SEC filings are also available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materials we file with the SEC may be read and copied at the SEC’s Public Reference Room at 100 F Street, NE, Washington, DC 20549. The public may obtain information on the operation of the Public Reference Room by calling the SEC at 1-800-SEC-0330.</w:t>
      </w:r>
    </w:p>
    <w:p>
      <w:pPr>
        <w:spacing w:after="0" w:line="18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 before making an investment decision. The statements contained in this section constitute cautionary statements under the Private Securities Litigation Reform Act of 1995. If any of these risks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For example, it is unclear what effects the on-going war between Russia and Ukraine and the conflict in the Middle East between Israel and Hamas are likely to have on the world economy and certain of our target markets, including particularly the oil and gas market, in the near and long term. In addition, macroeconomic factors such as inflation, unemployment, interest rates, and tariffs or trade barriers (including recent U.S. tariffs imposed or threatened to be imposed on China, Canada, Mexico and other countries and any retaliatory actions take by such countries) amongst others, will impact our business. Accordingly, you should not consider the following to be a complete discussion of all risks and uncertainties pertaining to us and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customers in the oil and gas industry have accounted for a substantial portion of our historical revenues. Specifically, they accounted for approximately 57%, 59%, and 56% of our revenues for the years ended December 31, 2024, 2023 and 2022, respectively. Although we have expanded our customer base into industries other than the oil and gas industry, we still receive a majority of our revenues from this industry. Our services are vital to the operators of plants, refineries, and pipelines, and we have expanded our services offerings, such as expanding our mechanical and in-line inspection services capabilities. However, economic slowdowns or low oil prices have, and could continue to, result in cutbacks in contracts for our services. In addition, low oil prices could depress the level of new exploration and construction, which would adversely affect our market opportunities. If the price of oil were to decrease, our revenues, profits and cash flows may be reduced. If the price of oil reaches record, or near record levels as it did in 2023, we may experience delays or deferrals in performing inspection services to customers in the oil and gas industry.</w:t>
      </w: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we continue to expand our market presence in the aerospace, power generation and transmission, and the chemical processing industries, among others, these markets are also cyclical in nature and as such, are subject to economic downturns. In addition, it is unclear what the continued effects the war between Russia and Ukraine and the conflict in the Middle East between Israel and Hamas are likely to have on the world economy and certain of our target markets, including particularly the oil and gas market, in the near and long term. However, the on-going war between Russia and Ukraine continues to create disruptions in the oil and gas market and the supply chain in general, which is resulting in some disruption to our business operations. Our European operations are currently experiencing increased costs associated with higher energy costs, among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others, due in part to the on-going war between Russia and Ukraine. We may also experience increased costs associated with tariffs or trade barriers (including recent U.S. tariffs imposed or threatened to be imposed on China, Canada, Mexico and other countries and any retaliatory actions taken by such countries).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climate change and market or regulatory responses to climate change</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Climate change could have a material adverse effect on our results of operations, financial condition, and liquidity. Restrictions on emissions, including those that have already been adopted and others that are expected to be adopted in the future, could affect our customers that (i) use commodities to produce energy, (ii) use significant amounts of fossil fuel to produce or deliver commodities, or (iii) manufacture or produce goods that consume significant amounts of fossil fuels or burn fossil fuels. Significant cost increases, government regulation, or changes of consumer preferences for goods or services relating to alternative sources of energy or emissions reductions could materially affect the markets we serve (including the oil and gas industry), which in turn could have a material adverse effect on our results of operations, financial condition and liquidity. Government incentives encouraging the use of alternative sources of energy also could affect certain of our customers and the markets we serve in an unpredictable manner. Any of these factors, individually or with one or more of the other factors, or other unforeseen impacts of climate change could have a material adverse effect on our results of operations, financial condition and liquidity.</w:t>
      </w:r>
    </w:p>
    <w:p>
      <w:pPr>
        <w:spacing w:after="0" w:line="21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addition, changes in international, federal, state and local legislation and regulation based on concerns about climate change and increasing climate-related disclosures, including the rules proposed by the SEC, could result in increased compliance and data collection costs if, and when, such laws and regulations become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risks relating to non-U.S. operations.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2023 and 2022, we generated approximately 31%, 29%, and 29% of our revenues outside the United States, respectively. In addition, our international operations as a percentage of our business may increase over time. Our primary operations outside the United States are in Canada, Germany, France, the United Kingdom, the Netherlands, and Brazil. We also have operations in Belgium, Greece, India and Mexico. There are numerous risks inherent in doing business in international markets, including:</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micro and macro-economic pressures, inflationary costs, energy costs and geopolitical factors;</w:t>
      </w:r>
    </w:p>
    <w:p>
      <w:pPr>
        <w:spacing w:after="0" w:line="14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regulations and licensing requirements, and U.S. laws and regulation with respect to conducting business in other countries, including export controls, sanctions, anti-terrorist and anti-bribery laws;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uncertainty of obtaining data and creating solutions that are relevant to particular geographic markets;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provide sufficient levels of technical support in different locations;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maintaining effective policies and procedures in locations around the world;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 or conflicts and civil unrest;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hacking, malware or security breaches of our data and databases;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limitations on outsourcing contracts or services abroad;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domestic and international tariffs, trade barriers and other trade restrictions;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limitations on the repatriation of funds, or tax consequences on the non-repatriation of overseas operationally generated funds;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potentially adverse tax consequences.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could be adversely affected by a reduction in business with our significant customers.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derive a significant amount of revenues from a few customers. Taken as a group, our top ten customers were responsible for approximately 36%, 35%, and 33% of our revenues for the years ended December 31, 2024, 2023 and 2022, respectively. This concentration pertains almost exclusively to our North America segment, which accounted for 81%, 82% and 83% of our revenues for the years ended December 31, 2024, 2023 and 2022, respectively. These customers are primarily in the oil and gas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sector.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significant customers could result in lower revenues and could harm our business, financial condition or results of operations.</w:t>
      </w:r>
    </w:p>
    <w:p>
      <w:pPr>
        <w:spacing w:after="0" w:line="20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required to comply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North America segment is currently licensed to handle radioactive materials by the U.S. Nuclear Regulatory Commission, more than 30 state regulatory agencies and the Canadian Nuclear Safety Commission.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being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In the future,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of providing these solutions and have a corresponding adverse effect on our margins.</w:t>
      </w:r>
    </w:p>
    <w:p>
      <w:pPr>
        <w:spacing w:after="0" w:line="1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and similar certifications for certain of our locations. We continually review our NDT solutions for compliance with the requirements of industry specification standards and the Nadcap special processes quality requirements. However, if we fail to maintain our ISO, Nadcap or other certifications, our business may be harmed because our customers generally require that we have these certifications before they purchase our NDT solutions.</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as a result of, for instance, poorly designed inspections, malfunctioning testing equipment or our employees’ failure to adequately test or properly record data, we could be subject to claims. Further, if an accident or incident involving a structure we tested occurs and causes personal injuries or property damage, such as the collapse of a bridge or an explosion in a facility, and particularly if these injuries or damages could have been prevented by our customers had we provided them with correct or complete results, we would likely face significant claims relating to personal injury, property damage or other losses. Even if our results are correct and complete, we may face claims for such injuries or damage simply because we tested the structure or facility in question. In addition, during the course of a single engagement, such as the inspection of a pipeline, we often perform tests on thousands of welds. Even if the accuracy of only a small number of these test results are questioned, a customer may attempt to refuse payment for the entire project. While we do have insurance, our insurance coverage does not cover non-payment by customers and may not be adequate to cover the damages from any of the prior referenced claims, forcing us to bear these uninsured damages directly, which could harm our operating results and may result in additional expenses and possible loss of revenues. An accident or incident for which we are found partially or fully responsible, even if fully insured, or even an incident at a customer or site for which we provide services although we were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found not to be responsible, may also result in negative publicity, which would harm our reputation among our customers and the public, cause us to lose existing and future contracts or make it more difficult for us to compete effectively, thereby significantly harming our operating performance. In addition, the occurrence of an accident or incident might also make it more expensive or extremely difficult for us to insure against similar events in the future.</w:t>
      </w:r>
    </w:p>
    <w:p>
      <w:pPr>
        <w:spacing w:after="0" w:line="15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the sites at which we work are inherently dangerous workplaces. If we fail to maintain a safe work environment, we may incur losses and lose business.</w:t>
      </w:r>
    </w:p>
    <w:p>
      <w:pPr>
        <w:spacing w:after="0" w:line="15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Many of our customers, particularly in the oil and gas and chemical industries, require their inspectors and other contractors working at their facilities to have good safety records because of the inherent danger at these sites. If our employees are injured at the work place, we could incur costs for the injuries and lost productivity. In addition,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191" w:lineRule="exact"/>
        <w:rPr>
          <w:sz w:val="20"/>
          <w:szCs w:val="20"/>
          <w:color w:val="auto"/>
        </w:rPr>
      </w:pPr>
    </w:p>
    <w:p>
      <w:pPr>
        <w:ind w:right="2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 from successfully providing our asset protection solutions, which could result in lost revenues. Software or system defects or inaccurate data may lead to customer dissatisfaction and could cause our customers to seek to hold us liable for any damages incurred. As a result, we could lose customers, our reputation may be harmed and our financial condition and results of operations could be materially adversely affected.</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currently serve a commercial, and industrial customer base that uses a wide variety of constantly changing hardware, software solutions and operating systems. Our asset protection solutions need to interface with these systems in order to gather and assess data. Our business depends on the following factors, among others:</w:t>
      </w:r>
    </w:p>
    <w:p>
      <w:pPr>
        <w:spacing w:after="0" w:line="20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our technology with new and existing hardware and software systems, of either Mistras or a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support new standards, especially internet-based standards; and</w:t>
      </w:r>
    </w:p>
    <w:p>
      <w:pPr>
        <w:spacing w:after="0" w:line="9" w:lineRule="exact"/>
        <w:rPr>
          <w:rFonts w:ascii="Times New Roman" w:cs="Times New Roman" w:eastAsia="Times New Roman" w:hAnsi="Times New Roman"/>
          <w:sz w:val="18"/>
          <w:szCs w:val="18"/>
          <w:color w:val="auto"/>
        </w:rPr>
      </w:pPr>
    </w:p>
    <w:p>
      <w:pPr>
        <w:ind w:left="660" w:right="2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additional software modules under development by either us or a customer, with our existing technology and operational processes.</w:t>
      </w:r>
    </w:p>
    <w:p>
      <w:pPr>
        <w:spacing w:after="0" w:line="208" w:lineRule="exact"/>
        <w:rPr>
          <w:sz w:val="20"/>
          <w:szCs w:val="20"/>
          <w:color w:val="auto"/>
        </w:rPr>
      </w:pPr>
    </w:p>
    <w:p>
      <w:pPr>
        <w:ind w:right="2140"/>
        <w:spacing w:after="0" w:line="282" w:lineRule="auto"/>
        <w:rPr>
          <w:sz w:val="20"/>
          <w:szCs w:val="20"/>
          <w:color w:val="auto"/>
        </w:rPr>
      </w:pPr>
      <w:r>
        <w:rPr>
          <w:rFonts w:ascii="Times New Roman" w:cs="Times New Roman" w:eastAsia="Times New Roman" w:hAnsi="Times New Roman"/>
          <w:sz w:val="18"/>
          <w:szCs w:val="18"/>
          <w:color w:val="auto"/>
        </w:rPr>
        <w:t>If we are unable to adequately address any of these factors, our results of operations and prospects for growth and profitability would be adversely impacted.</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a sufficient number of trained certified technicians, engineers and scientists at competitive wages, changes in laws and other labor issues could materially affect our financial performance.</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success depends, in part, upon our ability to attract, develop and retain a sufficient number of trained certified technicians, engineers and scientists at competitive wages. The demand for such employees fluctuates as the demand for NDT and inspection services fluctuates. When the demand for qualified technicians increases, we will often experience increased labor costs, which we may not recover in the amounts we can charge our customers. The markets for our products and services require us to use personnel trained and certified in accordance with standards set by domestic or international standard-setting bodies, such as the American Society of Non-Destructive Testing or the API.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21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addition, if our costs of labor or related costs increase for other reasons or if new or revised labor laws, rules or regulations or healthcare laws are adopted or implemented that further increase our labor costs, our financial performance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initiatives to improve our financial performance may not achieve results within expected time frames, or at expected levels.</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undertaken strategies to transform our business so that we may operate more effectively, streamline and rationalize our cost structures, and look for strategic opportunities to expand our revenue and become more profitable. The extent of our future success depends on how successful we are in these endeavors.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2023, we commenced a broad review of our operations, which we refer to as "Project Phoenix". Through Project Phoenix, we have been exploring ways to improve profitability and Adjusted EBITDA, through meaningful margin improvement and sustained cost savings. We have completed most phases of the project in 2023, wherein efficiency and profitability opportunities were identified, actionable initiatives were validated, and many of these actions have been implemented prospectively throughout 2024. Project Phoenix has resulted in significant cost reductions, primarily through headcount reductions, more efficient workflows, and streamlining of processes, and also led to developing and initiating action plans to increase revenue.</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our Project Phoenix initiatives will benefit the Company and our stockholders in the long run. However, we cannot be certain that some of the cost reductions could result in problems with our operations, lost opportunities, weakening of controls and procedures or other adverse effects if we misjudged the impact of the headcount reductions and other changes that we have implemented and are currently implementing. In addition, headcount reductions can result in lower employee morale and result in employees deciding to leave the Company, which would further adversely impact our businesses.</w:t>
      </w:r>
    </w:p>
    <w:p>
      <w:pPr>
        <w:spacing w:after="0" w:line="17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 and if we are unable to compete successfully, we could lose market share and revenues and our margins could decline.</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could attempt to combine asset protection solutions into an integrated offering to customers who already purchase other types of products or services from them. Our competitors may offer asset protection solutions at lower prices than ours in order to attempt to gain market share. Smaller niche competitors with small customer bases could be aggressive in their pricing in order to retain customers. These competitive factors could reduce our market share, revenues and profits.</w:t>
      </w:r>
    </w:p>
    <w:p>
      <w:pPr>
        <w:spacing w:after="0" w:line="21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businesses depends, in part, on our ability to develop new asset protection solutions, increase the functionality of our current offerings and meet the needs and demands of our customers.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market for asset protection solutions is impacted by technological change, uncertain product lifecycles, shifts in customer demands and evolving industry standards and regulations. If we fail to execute effective business strategies, or fail to successfully develop and market new asset protection solutions that comply with present or emerging industry regulations and technology standards, our competitive standing and results could suffer. Also, new regulations or technology standards could increase our cost of doing business.</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our customers have requested greater value and functionality in our solutions. As part of our strategy to enhance our asset protection solutions and grow our business, we continue to make investments in the research and development of new technologies, inspection tools and methodologies. We believe our future success will depend, in part, on our ability to continue to design new, competitive and broader asset protection solutions, enhance our current solutions and provide new, value-added services. Many traditional NDT and inspection services are subject to price competition by our customers. Accordingly, the need to demonstrate our value-added services is becoming more important.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market demands on a timely basis, including against possible alternative products developed and marketed by our competitors, we may experience a loss of customers or otherwise be likely to lose opportunities to earn revenues and to gain customers or access to markets, and our business and results of operations will be adversely affected.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develop new solutions, if our customers, or potential customers, do not see the value our solutions have over competing products and services, our operating results could be adversely impacted. In addition, because the asset protection solutions industry is evolving, we could lose insight into trends that may be emerging, which would further harm our competitive position by making it difficult to predict and respond to customer needs. If the market for our asset protection</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solutions does not continue to develop, our ability to grow our business would be limited and we might not be able to maintain profitability. If we cannot convince our customers of the advantages and value of our advanced NDT services, we could lose large contracts or suffer lower profit margin.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seasonal nature of our business reduces our revenues and profitability in the winter and summer and related cash flows.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seasonal. The fall and spring revenues are typically higher than our revenues in the winter and summer because demand for our asset protection solutions from the oil and gas as well as the fossil and nuclear power industries increases during their non-peak production periods. For instance, U.S. refineries’ non-peak periods are generally in the fall, when they are retooling to produce more heating oil for winter, and in the spring, when they are retooling to produce more gasoline for summer. As a result of these trends, we generally have reduced cash flows in the fall and spring, as collections of receivables lag behind revenues, normally requiring us to increase our borrowings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will continue.</w:t>
      </w:r>
    </w:p>
    <w:p>
      <w:pPr>
        <w:spacing w:after="0" w:line="21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86" w:lineRule="exact"/>
        <w:rPr>
          <w:sz w:val="20"/>
          <w:szCs w:val="20"/>
          <w:color w:val="auto"/>
        </w:rPr>
      </w:pPr>
    </w:p>
    <w:p>
      <w:pPr>
        <w:ind w:right="2000"/>
        <w:spacing w:after="0" w:line="253" w:lineRule="auto"/>
        <w:rPr>
          <w:sz w:val="20"/>
          <w:szCs w:val="20"/>
          <w:color w:val="auto"/>
        </w:rPr>
      </w:pPr>
      <w:r>
        <w:rPr>
          <w:rFonts w:ascii="Times New Roman" w:cs="Times New Roman" w:eastAsia="Times New Roman" w:hAnsi="Times New Roman"/>
          <w:sz w:val="18"/>
          <w:szCs w:val="18"/>
          <w:color w:val="auto"/>
        </w:rPr>
        <w:t>Our credit agreement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 We believe that it is probable, based on the Credit Agreement (as defined herein), that we will be able to comply</w:t>
      </w:r>
    </w:p>
    <w:p>
      <w:pPr>
        <w:spacing w:after="0" w:line="5"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with the financial covenants in our existing credit agreement and that sufficient credit remains available under the credit agreement to meet our liquidity needs. However, due to the uncertainties being caused by the significant volatility in oil prices and volatility in the aerospace production, such matters cannot be predicted with certainty.</w:t>
      </w:r>
    </w:p>
    <w:p>
      <w:pPr>
        <w:spacing w:after="0" w:line="213" w:lineRule="exact"/>
        <w:rPr>
          <w:sz w:val="20"/>
          <w:szCs w:val="20"/>
          <w:color w:val="auto"/>
        </w:rPr>
      </w:pPr>
    </w:p>
    <w:p>
      <w:pPr>
        <w:ind w:right="2120"/>
        <w:spacing w:after="0" w:line="256" w:lineRule="auto"/>
        <w:rPr>
          <w:sz w:val="20"/>
          <w:szCs w:val="20"/>
          <w:color w:val="auto"/>
        </w:rPr>
      </w:pPr>
      <w:r>
        <w:rPr>
          <w:rFonts w:ascii="Times New Roman" w:cs="Times New Roman" w:eastAsia="Times New Roman" w:hAnsi="Times New Roman"/>
          <w:sz w:val="18"/>
          <w:szCs w:val="18"/>
          <w:color w:val="auto"/>
        </w:rPr>
        <w:t>Our current credit agreement also imposes restrictions on our ability to engage in certain activities, such as creating liens, making certain investments, incurring more debt, disposing of certain property, paying dividends and making distributions and entering into a new line of business. While these restrictions have not impeded our business operations to date, if our plans change, these restrictions could be burdensome or require that we pay fees to have the restrictions waived. In addition, due to our current debt levels and restrictions related to the debt covenants in our credit facility, we do not expect to make any acquisitions in 2025 other than small acquisitions with the approval of the lenders under our Credit Agreement.</w:t>
      </w:r>
    </w:p>
    <w:p>
      <w:pPr>
        <w:spacing w:after="0" w:line="21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in various currencies in which we do business, especially the Euro and the U.S. dollar, could have a material adverse effect on our business, results of operations and financial condition.</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Most of our revenues are denominated in U.S. dollars, with the remaining amounts largely in euros, British pound sterling, the Brazilian Real, the Canadian Dollar and the Indian rupee. We have foreign currency exposure related to our operations in foreign locations and our foreign currency exposure arises primarily from the translation of our foreign subsidiaries’ financial statements into U.S. dollars. The exchange rates between the euro and other currencies in which we incur costs or receive revenues, on the one hand, and the U.S. dollar, on the other hand, have changed substantially in recent years and may fluctuate substantially in the future. See Item 7A-“Quantitative and Qualitative Disclosures about Market Risk.”</w:t>
      </w:r>
    </w:p>
    <w:p>
      <w:pPr>
        <w:spacing w:after="0" w:line="2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results of operations have been adversely affected and could be further adversely affected by certain movements in exchange rates, particularly if the foreign currencies in which we incur expenses appreciate against the U.S. dollar or if the foreign currencies in which we receive revenues depreciate against the U.S. dollar.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assets and liabilities, even if the value of these items has not changed in their original currency. We do not currently enter into forward exchange contracts to hedge exposures denominated in foreign currencies. We may consider entering into hedging or forward exchange contracts in the future, as sales in international currencies increase due to growth in our International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regarding our information technology and security.</w:t>
      </w:r>
    </w:p>
    <w:p>
      <w:pPr>
        <w:spacing w:after="0" w:line="256" w:lineRule="exact"/>
        <w:rPr>
          <w:sz w:val="20"/>
          <w:szCs w:val="20"/>
          <w:color w:val="auto"/>
        </w:rPr>
      </w:pPr>
    </w:p>
    <w:p>
      <w:pPr>
        <w:ind w:right="1960"/>
        <w:spacing w:after="0" w:line="253" w:lineRule="auto"/>
        <w:rPr>
          <w:sz w:val="20"/>
          <w:szCs w:val="20"/>
          <w:color w:val="auto"/>
        </w:rPr>
      </w:pPr>
      <w:r>
        <w:rPr>
          <w:rFonts w:ascii="Times New Roman" w:cs="Times New Roman" w:eastAsia="Times New Roman" w:hAnsi="Times New Roman"/>
          <w:sz w:val="18"/>
          <w:szCs w:val="18"/>
          <w:color w:val="auto"/>
        </w:rPr>
        <w:t>Significant disruptions of our information technology systems or breaches of information security could adversely affect our business. We rely upon information technology systems to operate many parts of our business. We routinely collect, store and transmit large amounts of sensitive or confidential information, including data from the results of our testing and inspections. We deploy and operate various technical and procedural controls to maintain the confidentiality and integrity of such sensitive or confidential information. Furthermore, as we automate more of our inspection process and procedures, including through the use of MISTRAS Digital, we become more vulnerable to security breaches and other system disruptions. In addition, we rely on third parties for significant elements of our information technology infrastructure and, as a result, we are managing many independent vendor relationships with third parties who may or could have access to our confidential information. The size and</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complexity of our information technology and information security systems, and those of our third-party vendors with whom we contract (and the large amounts of confidential information that is present on them), make such systems potentially vulnerable to service interruptions or to security breaches from inadvertent or intentional actions by our employees or vendors, or from attacks by malicious third parties. Such attacks are of ever-increasing levels of sophistication and expertise, including organized criminal groups, “hacktivists” and others. Due to the nature of some of these attacks, there is a risk that they may remain undetected for a period of time. While we have invested in the protection of data and information technology, there can be no assurance that our efforts will prevent service interruptions or security breaches. Any such interruption or breach of our systems could adversely affect our business operations and/or result in the loss of critical or sensitive confidential information, and could result in financial, legal, business and reputational harm to us. We maintain cyber liability insurance. However, this insurance may not be sufficient to cover the financial, legal, business or reputational losses that may result from an interruption or breach of our systems. The occurrence or perception of security breaches in connection with our asset protection solutions or our customers’ concerns about internet security or the security of our solutions, whether warranted or not, would likely harm our reputation and business, inhibit market acceptance of our asset protection solutions and cause us to lose customers, any of which would harm our financial condition and results of operations.</w:t>
      </w:r>
    </w:p>
    <w:p>
      <w:pPr>
        <w:spacing w:after="0" w:line="219" w:lineRule="exact"/>
        <w:rPr>
          <w:sz w:val="20"/>
          <w:szCs w:val="20"/>
          <w:color w:val="auto"/>
        </w:rPr>
      </w:pPr>
    </w:p>
    <w:p>
      <w:pPr>
        <w:ind w:right="2000"/>
        <w:spacing w:after="0" w:line="258" w:lineRule="auto"/>
        <w:rPr>
          <w:sz w:val="20"/>
          <w:szCs w:val="20"/>
          <w:color w:val="auto"/>
        </w:rPr>
      </w:pPr>
      <w:r>
        <w:rPr>
          <w:rFonts w:ascii="Times New Roman" w:cs="Times New Roman" w:eastAsia="Times New Roman" w:hAnsi="Times New Roman"/>
          <w:sz w:val="18"/>
          <w:szCs w:val="18"/>
          <w:color w:val="auto"/>
        </w:rPr>
        <w:t>In addition, much of our computer and communications hardware is located at a single facility. We have a back-up data-center and storage in a different geographic area. Should a natural disaster or some other event occur that damages our primary data center or significantly disrupts its operation, such as human error, fire, flood, power loss, telecommunications failure, break-ins, terrorist attacks, acts of war and similar events, we could suffer temporary interruption of key functions and capabilities before the back-up facility is fully operational.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such as natural disasters, industrial accidents, epidemics, pandemics, war and acts of terrorism, and adverse weather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could disrupt our business or the business of our customers, which could significantly harm our operations, financial results and cash flow.</w:t>
      </w:r>
    </w:p>
    <w:p>
      <w:pPr>
        <w:spacing w:after="0" w:line="234" w:lineRule="exact"/>
        <w:rPr>
          <w:sz w:val="20"/>
          <w:szCs w:val="20"/>
          <w:color w:val="auto"/>
        </w:rPr>
      </w:pPr>
    </w:p>
    <w:p>
      <w:pPr>
        <w:ind w:right="2080"/>
        <w:spacing w:after="0" w:line="261" w:lineRule="auto"/>
        <w:rPr>
          <w:sz w:val="20"/>
          <w:szCs w:val="20"/>
          <w:color w:val="auto"/>
        </w:rPr>
      </w:pPr>
      <w:r>
        <w:rPr>
          <w:rFonts w:ascii="Times New Roman" w:cs="Times New Roman" w:eastAsia="Times New Roman" w:hAnsi="Times New Roman"/>
          <w:sz w:val="18"/>
          <w:szCs w:val="18"/>
          <w:color w:val="auto"/>
        </w:rPr>
        <w:t>Our operations and those of our customers are susceptible to the occurrence of catastrophic events outside our control, which may include events like epidemics, pandemics and other health crises, severe weather conditions, industrial accidents, and acts</w:t>
      </w:r>
    </w:p>
    <w:p>
      <w:pPr>
        <w:ind w:right="100"/>
        <w:spacing w:after="0" w:line="255" w:lineRule="auto"/>
        <w:rPr>
          <w:sz w:val="20"/>
          <w:szCs w:val="20"/>
          <w:color w:val="auto"/>
        </w:rPr>
      </w:pPr>
      <w:r>
        <w:rPr>
          <w:rFonts w:ascii="Times New Roman" w:cs="Times New Roman" w:eastAsia="Times New Roman" w:hAnsi="Times New Roman"/>
          <w:sz w:val="18"/>
          <w:szCs w:val="18"/>
          <w:color w:val="auto"/>
        </w:rPr>
        <w:t>of war and terrorism, to name a few. We continue to actively monitor the conflict in the Middle East between Israel and Hamas, and the war between Russia and Ukraine and the sanctions imposed upon Russia in order to assess impacts to our customers and our operations. At this time, we do not believe there is a material impact on our operations, however the future impact of the conflict, and additional sanctions imposed, are uncertain.</w:t>
      </w:r>
    </w:p>
    <w:p>
      <w:pPr>
        <w:spacing w:after="0" w:line="213" w:lineRule="exact"/>
        <w:rPr>
          <w:sz w:val="20"/>
          <w:szCs w:val="20"/>
          <w:color w:val="auto"/>
        </w:rPr>
      </w:pPr>
    </w:p>
    <w:p>
      <w:pPr>
        <w:ind w:right="2120"/>
        <w:spacing w:after="0" w:line="255" w:lineRule="auto"/>
        <w:rPr>
          <w:sz w:val="20"/>
          <w:szCs w:val="20"/>
          <w:color w:val="auto"/>
        </w:rPr>
      </w:pPr>
      <w:r>
        <w:rPr>
          <w:rFonts w:ascii="Times New Roman" w:cs="Times New Roman" w:eastAsia="Times New Roman" w:hAnsi="Times New Roman"/>
          <w:sz w:val="18"/>
          <w:szCs w:val="18"/>
          <w:color w:val="auto"/>
        </w:rPr>
        <w:t>Any such events could cause a serious business disruption that reduces our customers’ need or interest in purchasing our asset protection solutions. In the past, such events have resulted in order cancellations and delays because customer equipment, facilities or operations have been damaged, or are not then operational or available. A large portion of our customer base has operations in the Gulf of Mexico, which is subject to hurricanes and tropical storms. Hurricane-related disruptions to our</w:t>
      </w:r>
    </w:p>
    <w:p>
      <w:pPr>
        <w:spacing w:after="0" w:line="3"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customers’ operations have adversely affected our revenues in the past. Such events in the future may result in substantial delays in the provision of solutions to our customers and the loss of valuable equipment. In addition, our results can be adversely impacted by severe winter weather conditions, which can result in lost workdays and temporary closures of customer facilities or outdoor projects.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events could disrupt commodity prices or financial markets or have other negative macroeconomic impacts,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as the conflict in the Middle East between Hamas and Israel and the on-going war between Ukraine and Russia, which could harm our business.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family of our late founder and Chairman Emeritus has significant influence over the direction of our business. The concentrated ownership of our common stock may prevent other stockholders from influencing significant corporate decisions.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Dr. Sotirios J. Vahaviolos, our late founder and Chairman Emeritus, who passed away on February 6, 2025, owned at the time of his passing, approximately 6% of our outstanding common stock, his three adult children owned, at the time of his passing an additional 6%, in the aggregate, and a grantor retained annuity trust he created, for which his daughter is the sole trustee, owned approximately 22% at the time of his passing. As a result, the family of Dr. Vahaviolos has significant control over the Company and they have the ability to exert substantial influence over all matters requiring approval by our stockholders, including the election and removal of directors, amendments to our certificate of incorporation, and any proposed merger, consolidation or sale of all or substantially all of our assets and other corporate transactions. This concentration of ownership could be disadvantageous to other stockholders with differing interests from the family of Dr. Vahaviolos.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plans to pay dividends on our common stock.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to date, and we do not anticipate declaring or paying any dividends on our common stock in the foreseeable future. To the extent we do not pay dividends on our common stock, investors must look solely to stock appreciation for a return on their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eligible for future sale may cause the market price for our common stock to decline even if our business is doing well.</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Future sales by us or by our existing stockholders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We cannot predict the size of future issuances of our common stock or the effect, if any, that future sales and issuances of shares of our common stock, or the perception of such sales or issuances, would have on the market price of our common stock. We currently have approximately 170 million shares of common stock available for issuance.</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certificate of incorporation, bylaws and of Delaware law could discourage, delay or prevent a change of control of our company, which may adversely affect the market price of our common stock.</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could discourage, delay or prevent a merger, acquisition, or other change of control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8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directors to be changed only by resolution of our Board;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vacancies on the Board, including newly created directorships, be filled only by a majority vote of directors then in office;</w:t>
      </w:r>
    </w:p>
    <w:p>
      <w:pPr>
        <w:spacing w:after="0" w:line="144"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without stockholder approval, preferred stock that, if issued, could operate as a “poison pill” to dilute the stock ownership of a potential hostile acquirer to prevent an acquisition that is not approved by our Board;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by prohibiting stockholder action by written consent;</w:t>
      </w:r>
    </w:p>
    <w:p>
      <w:pPr>
        <w:spacing w:after="0" w:line="15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which may otherwise allow holders of less than a majority of stock to elect some directors; and</w:t>
      </w:r>
    </w:p>
    <w:p>
      <w:pPr>
        <w:spacing w:after="0" w:line="80"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nominations to our Board or for stockholder proposals that can be acted on at stockholder meetings and limit the right to call special meetings of stockholders to the Chairman of our board, our Chief Executive Officer, our Board acting pursuant to a resolution adopted by a majority of directors or our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Secretary upon the written request of stockholders entitled to cast not less than 35% of all the votes entitled to be cast at such meeting.</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fluctuate for numerous reasons, including variations in our results.</w:t>
      </w:r>
    </w:p>
    <w:p>
      <w:pPr>
        <w:spacing w:after="0" w:line="256" w:lineRule="exact"/>
        <w:rPr>
          <w:sz w:val="20"/>
          <w:szCs w:val="20"/>
          <w:color w:val="auto"/>
        </w:rPr>
      </w:pPr>
    </w:p>
    <w:p>
      <w:pPr>
        <w:ind w:right="2120"/>
        <w:spacing w:after="0" w:line="261"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may do so in the future. Accordingly, we believe that period-to-period comparisons of our results of operations may be the best indicators of our business. You should not rely upon</w:t>
      </w: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 Our quarterly revenues and operating results may vary depending on a number of factors, including those listed previously under “—Risks Related to Our Business.” In addition, the price of our</w:t>
      </w:r>
    </w:p>
    <w:p>
      <w:pPr>
        <w:spacing w:after="0" w:line="2" w:lineRule="exact"/>
        <w:rPr>
          <w:sz w:val="20"/>
          <w:szCs w:val="20"/>
          <w:color w:val="auto"/>
        </w:rPr>
      </w:pPr>
    </w:p>
    <w:p>
      <w:pPr>
        <w:ind w:right="2240"/>
        <w:spacing w:after="0" w:line="260" w:lineRule="auto"/>
        <w:rPr>
          <w:sz w:val="20"/>
          <w:szCs w:val="20"/>
          <w:color w:val="auto"/>
        </w:rPr>
      </w:pPr>
      <w:r>
        <w:rPr>
          <w:rFonts w:ascii="Times New Roman" w:cs="Times New Roman" w:eastAsia="Times New Roman" w:hAnsi="Times New Roman"/>
          <w:sz w:val="18"/>
          <w:szCs w:val="18"/>
          <w:color w:val="auto"/>
        </w:rPr>
        <w:t>common stock is subject to general economic, market, industry, and competitive conditions, the risk factors discussed herein and numerous other conditions outside of our control.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Deteriorations in economic conditions in certain markets or other factors may cause us to recognize additional impairment charges for our goodwill.</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we recognized goodwill impairment charges of $13.8 million within the International reporting units. Future deterioration in industry or economic conditions in which we operate, including increased inflationary costs, costs associated with proposed tariffs or other trade restrictions, energy costs, labor costs, social pressures and disruptions in Europe, the Middle East or elsewhere as a result of the war between Russia and Ukraine and the conflict between Israel and Hamas, disruptions to our business, not effectively integrating acquired businesses, macroeconomic factors or other factors, may cause impairment charges to our goodwill in future periods.</w:t>
      </w:r>
    </w:p>
    <w:p>
      <w:pPr>
        <w:spacing w:after="0" w:line="17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privacy and data security/protection laws in the jurisdictions in which we operate and may be exposed to substantial costs and liabilities associated with such laws and regulations.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and privacy is increasingly demanding, with frequent imposition of new and changing requirements. The European Union's General Data Protection Regulation (“GDPR”), which became effective in May 2018, imposed significant new requirements on how companies process and transfer personal data, as well as significant fines for non-compliance. In addition to GDPR, many states in the U.S. and provinces in Canada have enacted, or are considering, data privacy requirements similar to GDPR, and thus we will need to ensure our procedures comply with these various state and provincial laws. Compliance with changes in privacy and information security laws and standards may result in significant expense due to increased investment in technology and the development of new operational processes, which could have a material adverse effect on our financial condition and results of operations. In addition, the payment of potentially significant fines or penalties in the event of a breach of privacy and information security laws, as well as the negative publicity associated with such a breach, could damage our reputation and adversely impact product demand and customer relationships.</w:t>
      </w:r>
    </w:p>
    <w:p>
      <w:pPr>
        <w:spacing w:after="0" w:line="21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members of our senior management team upon whom we are dependent, we may be less effective in managing our operations and may have more difficulty achieving our strategic objectives.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future success depends to a considerable degree upon the availability, contributions, vision, skills, experience and effort of our senior management team. We have in place various compensation programs, such as an annual cash incentive program, equity incentive program and a severance policy, each designed to incentivize and retain our key senior managers. At this time, we do not have any reason to believe that we may lose the services of any of these key persons in the foreseeable future and we believe our compensation programs will help us retain these individuals. However, an unplanned loss or interruption of the service of numerous key members of our senior management team could harm our business, financial condition and results of operations and could significantly reduce our ability to manage our operations and implement our strategy.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may impact our business and results of operations.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and any patent or patent applications, trademarks or copyrights held by us or to be issued to us, may not adequately protect us. To date, we have relied principally on copyright, trademark and trade secrecy laws, as well as confidentiality agreements and licensing arrangements, and more recently, patent protection, to establish and protect our intellectual property. However, we have not obtained confidentiality agreements from all our customers. Although we obligate our employees to confidentiality, we cannot be certain that these obligations will be honored or enforceable in all circumstances.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political and economic changes or instability, or other circumstances beyond our control could affect our business operations.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business may be adversely affected by social, political and economic instability, unrest or disruption, including legal, regulatory and policy changes by a new presidential administration in the U.S., protests, demonstrations, strikes, riots, civil disturbance, disobedience, insurrection, or social and other political unrest. Such events may result in restrictions, curfews or other actions and give rise to significant changes in regional and global economic conditions and cycles, which may adversely affect our financial condition and operations.</w:t>
      </w:r>
    </w:p>
    <w:p>
      <w:pPr>
        <w:spacing w:after="0" w:line="193"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Changes in federal policy, including tax policies, and at regulatory agencies occur over time through policy and personnel changes following elections, which can lead to changes involving the level of oversight and focus on certain industries and corporate entities. The nature, timing, and economic and political effects of potential changes to the current legal and regulatory frameworks affecting the industries in which we operate remain highly uncertain. Additionally, changes in federal policy that affect the geopolitical landscape, such as the imposition of tariffs and changes to U.S. trade policy, have, and could in the future, lead to adverse effects on the U.S. domestic economy and our business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which might not be available.</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Our current credit facility meets our current needs, except that due to our current debt levels, the facility limits our ability to make acquisitions without the banks' approval until our debt ratio improves. If we were to secure other debt financing in the future, it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including through acquisitions, or respond to business challenges.</w:t>
      </w:r>
    </w:p>
    <w:p>
      <w:pPr>
        <w:spacing w:after="0" w:line="21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prioritize the protection of our data assets, the private data of our employees, customers, and vendors, and personal information. To assess, identify, and manage the risks of cybersecurity threats to our information systems and the associated costs, we maintain a robust cybersecurity program that is integrated into the Company’s overall Enterprise Risk Management strategy. We understand that threats from hackers and other cyber criminals continues to adapt and become more sophisticated, and so must our response to these threats.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43"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18"/>
          <w:szCs w:val="18"/>
          <w:color w:val="auto"/>
        </w:rPr>
        <w:t>Our Board is responsible for oversight of our cybersecurity program. The Audit Committee, Enterprise Risk Committee, and the Information Technology Leadership Team support the Board in the oversight of our information security program and are focused on cybersecurity and data privacy risk, including compliance with all applicable laws and regulations, incident response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planning, timely identification and assessment of incidents, incident recovery and business continuity considerations. Our cybersecurity risk management and internal controls program are aligned to ISO27001 Standards and the National Institute of Standards and Technology (NIST) framework.</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our cybersecurity program management activities and our continuing efforts to evaluate and enhance the effectiveness of our cybersecurity policies and procedures, we actively engage internal and prominent external experts, as well as industry participants. Our cybersecurity program is managed by the Chief Information Officer who has biannual meetings with the Audit Committee and provides periodic reports and updates concerning our cybersecurity program to our Chief Executive Officer and other members of our senior management, as appropriate. These reports include updates on our cyber risk and threats, the status of projects to strengthen our information network and data security, assessments of our information security program, and the emerging threat landscape. We have established governance committees to provide us with cybersecurity oversight with supportive roles to advance the effectiveness of our cybersecurity program. The Chief Information Officer has over 20 years of IT leadership and cybersecurity experience, and the Information Technology Leadership Team overall has a combined fifteen years of cybersecurity experience. The Chief Information Officer and members of the Information Technology Leadership Team maintain industry recognized credentials relevant to their roles and stay informed on the latest trends and technologies.</w:t>
      </w:r>
    </w:p>
    <w:p>
      <w:pPr>
        <w:spacing w:after="0" w:line="2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Chief Information Officer manages both an Information Security team and an IT Risk team within the Department of Information Technology. The IT Risk team works closely with our Data Privacy Officer for governance and compliance related to regulations and frameworks for data classification, data privacy, handling of private data and controlled unclassified information, and internal policies and procedures. The Cyber Security team is responsible for identifying and implementing technologies to mitigate IT risk, enhance data security, and identify and defend against attacks. Both teams work closely together to establish the cybersecurity policies for the Company, evaluate the current risk profile, and to prevent, investigate, mitigate, and remediate any cyber-attacks on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IT Risk team uses an asset-based risk approach for evaluating cybersecurity risks and appropriate risk mitigation. All IT assets are reviewed against a broad range of risks twice a year and are evaluated for likelihood of occurrence and impact should they occur. These risks are then mapped to our global inventory of systems and the type of data as well as the number of systems to which a risk applies are evaluated. These factors are used to determine a risk score for each of the reviewed risks, and mitigations are subsequently applied to reduce those risk scores to determine the areas of focus for increasing mitigations. This exercise is logged biannually to monitor improvement.</w:t>
      </w:r>
    </w:p>
    <w:p>
      <w:pPr>
        <w:spacing w:after="0" w:line="21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several physical, automated, and administrative controls in place to mitigate the success and extent of any cyber breaches. Our controls are designed to require review of tasks which may occur in the normal course of business but are also common vectors of attack. Automated controls are implemented in all cases where one is feasible, and in other cases standard procedures or documented instructions are in place to ensure that actions are proper and approved before they occur.</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Policies related to cybersecurity risks are documented, reviewed annually, and published internally, which define the correct processes for identifying, containing, remediating, and responding to cybersecurity incidents. Our data protection policies define the establishment of the classification of types of data. Based upon this data classification, we determine an incident’s materiality and establish the appropriate response, the incident management team, and the communications required to be distributed to third parties. Incident management policies are in place to establish the proper communication channels and responsible parties for different levels of materiality of an incident. We practice these policies and procedures in a tabletop or simulated fashion multiple times annually.</w:t>
      </w:r>
    </w:p>
    <w:p>
      <w:pPr>
        <w:spacing w:after="0" w:line="21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Each employee plays a role in safeguarding our data assets, and the protection of our data is ingrained in every employee’s day to day activities. Employees must participate in annual cyber security training. Simulated testing occurs multiple times throughout the year, including drop testing and SPAM / PHISHING campaigns, and the results are tracked for compliance and we address any weaknesses identified in such trainings and testings as necessary.</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Security team performs internal threat hunting, vulnerability scanning, log aggregation, and identity monitoring on an on-going basis. Web site, code, and configuration vulnerability scans are performed as necessary to ensure that changes do not introduce vulnerabilities into our systems. Information Security and IT Risk personnel receive regular training to ensure these individuals have up-to-date expert knowledge.</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 supplement our cybersecurity risk assessment, identification, management, and mitigation efforts, we engage third party cyber security experts. Cyber security assessments are performed at least annually, results are documented and reviewed,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mitigation plans are put in place to reduce any threats identified. The classification of data processed by any system is considered when implementing mitigations.</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recognize the importance of overseeing and identifying material risks from cybersecurity threats associated with our use of third-party vendors. We perform a thorough review of the cyber security measures in place, including any documented third-party audits, for any partners who process our data. Sign-off is required by the Information Security team before agreements can be put in place.</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our current preventative actions and response activities provide adequate measures of protection against security breaches and generally reduce our cybersecurity risks. However, cybersecurity threats are constantly evolving, are becoming more frequent and more sophisticated and are being made by groups of individuals with a wide range of expertise and motives, which increases the difficulty of detecting and successfully defending against them. While we have implemented measures to safeguard our operational and technology systems and have established a culture of continuous learning, monitoring and improvement, the evolving nature of cybersecurity attacks and vulnerabilities means that these protections may not always be effective. However, as of the date of this Annual Report, management has determined that none of the cybersecurity attacks that we have experienced has resulted in a material impact on our financial condition, results of operations or business strategy. In addition, as of the date of this Annual Report, we are not aware of any risks from cybersecurity threats that have materially affected or are reasonably likely to materially affect us, including our business strategy, results of operations and financial condition.</w:t>
      </w:r>
    </w:p>
    <w:p>
      <w:pPr>
        <w:spacing w:after="0" w:line="21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how cybersecurity threats have affected or are reasonably likely to materially affect our business strategy, results of operations or financial condition, see Part I, Item 1A, “Risk Factors—Risks Related to Our Business—We face risks regarding our information technology and security”.</w:t>
      </w:r>
    </w:p>
    <w:p>
      <w:pPr>
        <w:spacing w:after="0" w:line="200" w:lineRule="exact"/>
        <w:rPr>
          <w:sz w:val="20"/>
          <w:szCs w:val="20"/>
          <w:color w:val="auto"/>
        </w:rPr>
      </w:pPr>
    </w:p>
    <w:p>
      <w:pPr>
        <w:spacing w:after="0" w:line="21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2024, we operated approximately 105 facilities in 11 countries, with our corporate headquarters located in Princeton Junction, New Jersey. Our headquarters in Princeton Junction is our primary location, where most of our manufacturing and research and development is conducted. While we lease most of our facilities, as of December 31, 2024, we owned properties located in Monroe, North Carolina; Trainer, Pennsylvania; LaPorte, Texas; Burlington, Washington; Evanston, Wyoming; and Jonquiere, Quebec, Canada. Our North America segment utilizes approximately 71 facilities throughout North America (including Canada and Mexico). Our Products and Systems segment’s primary location is in our Princeton Junction, New Jersey facility. Our International segment has approximately 30 facilities including locations in Belgium, Brazil, France, Germany, Greece, India, the Netherlands and the United Kingdom. We believe that all of our facilities are well maintained and are suitable and adequate for the foreseeable future.</w:t>
      </w:r>
    </w:p>
    <w:p>
      <w:pPr>
        <w:spacing w:after="0" w:line="18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periodic legal proceedings, investigations and claims that arise in the ordinary course of business. See “Legal Proceedings and Government Investigations - Litigation and Commercial Claims” in Note </w:t>
      </w:r>
      <w:r>
        <w:rPr>
          <w:rFonts w:ascii="Times New Roman" w:cs="Times New Roman" w:eastAsia="Times New Roman" w:hAnsi="Times New Roman"/>
          <w:sz w:val="18"/>
          <w:szCs w:val="18"/>
          <w:i w:val="1"/>
          <w:iCs w:val="1"/>
          <w:color w:val="auto"/>
        </w:rPr>
        <w:t>18-Commitments and Contingencies</w:t>
      </w:r>
      <w:r>
        <w:rPr>
          <w:rFonts w:ascii="Times New Roman" w:cs="Times New Roman" w:eastAsia="Times New Roman" w:hAnsi="Times New Roman"/>
          <w:sz w:val="18"/>
          <w:szCs w:val="18"/>
          <w:color w:val="auto"/>
        </w:rPr>
        <w:t xml:space="preserve"> to our audited consolidated financial statements contained in Item 8 of this Annual Report for a description of legal proceedings involving us and our business, which is incorporated herein by reference.</w:t>
      </w:r>
    </w:p>
    <w:p>
      <w:pPr>
        <w:spacing w:after="0" w:line="20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currently trades on the New York Stock Exchange under the ticker symbol “MG.”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As of March 7, 2025, there were 10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15th Avenue, Brooklyn, New York 11219.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line graph below compares the cumulative total shareholder value return of our common shares with the cumulative total returns of an overall stock market index, the Russell 3000, and our peer group index. This graph assumes an investment of $100 in our common shares and each index (with all dividends reinvested) on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5863590" cy="28632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359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2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fourth quarter of 2024. All purchases were effected pursuant to the surrender of shares by employees to satisfy minimum tax withholding obligations in connection with the vesting of restricted stock units.</w:t>
      </w:r>
    </w:p>
    <w:tbl>
      <w:tblPr>
        <w:tblLayout w:type="fixed"/>
        <w:tblInd w:w="0" w:type="dxa"/>
        <w:tblCellMar>
          <w:top w:w="0" w:type="dxa"/>
          <w:left w:w="0" w:type="dxa"/>
          <w:bottom w:w="0" w:type="dxa"/>
          <w:right w:w="0" w:type="dxa"/>
        </w:tblCellMar>
      </w:tblPr>
      <w:tr>
        <w:trPr>
          <w:trHeight w:val="147"/>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5080" w:type="dxa"/>
            <w:vAlign w:val="bottom"/>
          </w:tcPr>
          <w:p>
            <w:pPr>
              <w:jc w:val="center"/>
              <w:ind w:left="2962"/>
              <w:spacing w:after="0" w:line="147"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0" w:type="dxa"/>
            <w:vAlign w:val="bottom"/>
          </w:tcPr>
          <w:p>
            <w:pPr>
              <w:jc w:val="right"/>
              <w:ind w:right="1017"/>
              <w:spacing w:after="0" w:line="147"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vMerge w:val="continue"/>
          </w:tcPr>
          <w:p>
            <w:pPr>
              <w:spacing w:after="0"/>
              <w:rPr>
                <w:sz w:val="17"/>
                <w:szCs w:val="17"/>
                <w:color w:val="auto"/>
              </w:rPr>
            </w:pPr>
          </w:p>
        </w:tc>
        <w:tc>
          <w:tcPr>
            <w:tcW w:w="5080" w:type="dxa"/>
            <w:vAlign w:val="bottom"/>
            <w:tcBorders>
              <w:bottom w:val="single" w:sz="8" w:color="auto"/>
            </w:tcBorders>
          </w:tcPr>
          <w:p>
            <w:pPr>
              <w:jc w:val="center"/>
              <w:ind w:left="2942"/>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7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jc w:val="right"/>
              <w:ind w:right="125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2024</w:t>
            </w:r>
          </w:p>
        </w:tc>
        <w:tc>
          <w:tcPr>
            <w:tcW w:w="50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30, 2024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6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783"/>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21" w:right="439" w:bottom="1440" w:gutter="0" w:footer="0" w:header="0"/>
        </w:sect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(this “MD&amp;A”) provides a discussion of our results of operations and financial position for the year ended December 31, 2024. This section generally discusses 2024 and 2023 items and year-to-year comparisons between 2024 and 2023. Discussions of 2022 items and year-to-year comparisons between 2023 and 2022 are included in Part II–Item 7, Management's Discussion and Analysis of Financial Condition and Results of Operations of our Annual Report on Form 10-K for the fiscal year ended December 31, 2023 filed with the SEC on March 11, 2024, which discussion is incorporated herein by reference. This MD&amp;A should be read together with our audited consolidated financial statements and related notes included in Item 8 in this Annual Report. Unless otherwise specified or the context otherwise requires, “Mistras,” "MISTRAS," the "Company,” “we,” “us” and “our” refer to Mistras Group, Inc. and its consolidated subsidiaries. This MD&amp;A includes the following sections:</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Annual Report on Form 10-K, including this MD&amp;A, contains forward-looking statements within the meaning of Section 27A of the Securities Act and Section 21E of the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 See “Forward-Looking Statements” at the beginning of Item 1 of this Annual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Updates</w:t>
      </w:r>
    </w:p>
    <w:p>
      <w:pPr>
        <w:spacing w:after="0" w:line="24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We are currently unable to predict with certainty the effects that inflationary pressures and the ongoing war between Russia and Ukraine war may have on our business, results of operations or liquidity or in other ways which we cannot yet determine. Our European operations have experienced increased costs associated with higher energy costs during 2023, among others, due in part to the on-going war between Russia and Ukraine. We may also experience increased costs associated with tariffs or trade barriers (including recent U.S. tariffs imposed or threatened to be imposed on China, Canada, Mexico and other countries and any retaliatory actions taken by such countries). We will continue to monitor market conditions and respond accordingly.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6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are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strong commitment to Environmental, Social, and Governance ("ESG") initiatives, and a decades-long legacy of industry leadership, the Company helps customers with asset-intensive infrastructure in the oil and gas, petrochemical, aerospace and defense, renewable and nonrenewable power, civil infrastructure, and manufacturing industries towards achieving operational and environmental excellence. By supporting these customers that help fuel our vehicles and power our society; inspecting components that are trusted for commercial, defense, and space craft; building real-time monitoring equipment to enable safe travel across bridges; and helping to propel sustainability, the Company helps the world at large.</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enhances value for its customers by integrating asset protection throughout supply chains and centralizing integrity data through a suite of Industrial IoT-connected digital software and monitoring solutions. The Company’s core capabilities also include non-destructive testing ("NDT") field and in-line inspections enhanced by advanced robotics, laboratory quality control and assurance testing, sensing technologies and NDT equipment, asset and mechanical integrity engineering services, and light mechanical maintenance and access services.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operations consist of three reportable segments: North America (which we previously referred to as our Services segment), International, and Products and Systems.</w:t>
      </w:r>
    </w:p>
    <w:p>
      <w:pPr>
        <w:spacing w:after="0" w:line="160" w:lineRule="exact"/>
        <w:rPr>
          <w:sz w:val="20"/>
          <w:szCs w:val="20"/>
          <w:color w:val="auto"/>
        </w:rPr>
      </w:pPr>
    </w:p>
    <w:p>
      <w:pPr>
        <w:ind w:left="660" w:right="80" w:hanging="328"/>
        <w:spacing w:after="0" w:line="290" w:lineRule="auto"/>
        <w:tabs>
          <w:tab w:leader="none" w:pos="655"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North America </w:t>
      </w:r>
      <w:r>
        <w:rPr>
          <w:rFonts w:ascii="Times New Roman" w:cs="Times New Roman" w:eastAsia="Times New Roman" w:hAnsi="Times New Roman"/>
          <w:sz w:val="17"/>
          <w:szCs w:val="17"/>
          <w:color w:val="auto"/>
        </w:rPr>
        <w:t>provides asset protection solutions with the largest concentration in the United States, followed by Canada, consisting primarily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NDT, inspection, mechanical and engineering services that are used to evaluate the structural integrity and reliability of critical energy, industrial and public infrastructure and commercial aerospace components. A majority of data analytical solutions revenues are generated by this segment.</w:t>
      </w:r>
    </w:p>
    <w:p>
      <w:pPr>
        <w:spacing w:after="0" w:line="182" w:lineRule="exact"/>
        <w:rPr>
          <w:rFonts w:ascii="Times New Roman" w:cs="Times New Roman" w:eastAsia="Times New Roman" w:hAnsi="Times New Roman"/>
          <w:sz w:val="17"/>
          <w:szCs w:val="17"/>
          <w:i w:val="1"/>
          <w:iCs w:val="1"/>
          <w:color w:val="auto"/>
        </w:rPr>
      </w:pPr>
    </w:p>
    <w:p>
      <w:pPr>
        <w:ind w:left="660" w:right="40" w:hanging="328"/>
        <w:spacing w:after="0" w:line="284"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85" w:lineRule="exact"/>
        <w:rPr>
          <w:rFonts w:ascii="Times New Roman" w:cs="Times New Roman" w:eastAsia="Times New Roman" w:hAnsi="Times New Roman"/>
          <w:sz w:val="18"/>
          <w:szCs w:val="18"/>
          <w:i w:val="1"/>
          <w:iCs w:val="1"/>
          <w:color w:val="auto"/>
        </w:rPr>
      </w:pPr>
    </w:p>
    <w:p>
      <w:pPr>
        <w:ind w:left="660" w:right="780" w:hanging="328"/>
        <w:spacing w:after="0" w:line="284"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the past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spacing w:after="0" w:line="21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expenditures to be impacted by oil price fluctuations.</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OneSuite platform. The software platform offers functions of our software and services brands as integrated apps on a cloud environment. OneSuite serves as a single access portal for customers' data activities and provides access to 90 plus applications being offered on one centralized platform.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Developments</w:t>
      </w:r>
    </w:p>
    <w:p>
      <w:pPr>
        <w:spacing w:after="0" w:line="256" w:lineRule="exact"/>
        <w:rPr>
          <w:sz w:val="20"/>
          <w:szCs w:val="20"/>
          <w:color w:val="auto"/>
        </w:rPr>
      </w:pPr>
    </w:p>
    <w:p>
      <w:pPr>
        <w:jc w:val="both"/>
        <w:ind w:right="360"/>
        <w:spacing w:after="0" w:line="250" w:lineRule="auto"/>
        <w:rPr>
          <w:sz w:val="20"/>
          <w:szCs w:val="20"/>
          <w:color w:val="auto"/>
        </w:rPr>
      </w:pPr>
      <w:r>
        <w:rPr>
          <w:rFonts w:ascii="Times New Roman" w:cs="Times New Roman" w:eastAsia="Times New Roman" w:hAnsi="Times New Roman"/>
          <w:sz w:val="18"/>
          <w:szCs w:val="18"/>
          <w:color w:val="auto"/>
        </w:rPr>
        <w:t>The Company provides products and services to countries throughout the Middle East, where lawfully permitted, and in accordance with United States regulations. We continue to monitor the on-going conflicts throughout the Middle East. These conflicts caused disruptions in the Company's European operations in 2023 with increased costs associated with higher energy costs, amongst others. These disruptions have largely subsided in 2024, and the Company will continue to monitor market conditions and respond accordingly.</w:t>
      </w:r>
    </w:p>
    <w:p>
      <w:pPr>
        <w:spacing w:after="0" w:line="20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cash position and liquidity remain strong. As of December 31, 2024, our cash and cash equivalents balance was approximately $18.3 million and our Credit Agreement provides us with significant liquidity.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April 2021, the Biden Administration announced aggressive initiatives to battle climate change, which includes potential plans for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that the factors discussed above and the effect of continuing inflationary pressures or increased costs due to tariffs and trade barriers may have on its business, results of operations or liquidity or in other ways which the Company cannot yet determine. The Company's European operations are currently experiencing higher energy costs, among other increased costs, due in part to the on-going war between Russia and Ukraine and the conflict in the Middle East between Israel and Hamas. The Company will continue to monitor market conditions and respond accordingly. Refer to Item 1A. Risk Factors in Part I of our 2024 Annual Report.</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December 5, 2024, our Board of Directors (the “Board”), in furtherance of its management succession planning, appointed Natalia Shuman, as the Company’s President and Chief Executive Officer, and Manny Stamatakis will continue as the Executive Chairman of the Company effective as of January 1, 2025. Mr. Stamatakis served as our Chairman of the Board and Interim President and Chief Executive Officer until December 31, 2024.</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December 12, 2024, we announced the appointment of Hani Hammad to the position of Executive Vice President and Chief Operating Officer effective as of January 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6, 2025, we announced the passing of Dr. Sotirios J. Vahaviolos, our founder and Chairman Emeritus.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7, 2025, we announced the termination of John A. Smith as our Executive Vice President and President of Services.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about Non-GAAP Measures</w:t>
      </w:r>
    </w:p>
    <w:p>
      <w:pPr>
        <w:spacing w:after="0" w:line="23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U.S. GAAP. In this MD&amp;A under the heading "Income (loss) from Operations", the non-GAAP financial performance measure "Income (loss) from operations before special items” is used for each of our three operating segments, the "Corporate" segment and for the "Total Company", with tables reconciling the "Income (loss) from operations before special items" to "Income (loss) from operations", which is a financial measure under GAAP. This presentation excludes from "Income (loss) from Operations"</w:t>
      </w:r>
    </w:p>
    <w:p>
      <w:pPr>
        <w:spacing w:after="0" w:line="3" w:lineRule="exact"/>
        <w:rPr>
          <w:sz w:val="20"/>
          <w:szCs w:val="20"/>
          <w:color w:val="auto"/>
        </w:rPr>
      </w:pPr>
    </w:p>
    <w:p>
      <w:pPr>
        <w:ind w:firstLine="8"/>
        <w:spacing w:after="0" w:line="251"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or liquidity measure and should not be considered alternatives to net income (loss) or any other measures derived in accordance with GAAP. Because Income (loss) from operations before special items may not be calculated in the same manner by all companies, this measure may not be comparable to other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vs. Year ended December 31, 2023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Income (Loss) for the years ended December 31, 2024 and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8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20" w:type="dxa"/>
            <w:vAlign w:val="bottom"/>
          </w:tcPr>
          <w:p>
            <w:pPr>
              <w:spacing w:after="0"/>
              <w:rPr>
                <w:sz w:val="17"/>
                <w:szCs w:val="17"/>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729,640</w:t>
            </w:r>
          </w:p>
        </w:tc>
        <w:tc>
          <w:tcPr>
            <w:tcW w:w="1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705,473</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213,109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203,807</w:t>
            </w: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29.2 %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39,826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(1,904)</w:t>
            </w: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24,244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(18,665)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18,970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(17,445)</w:t>
            </w: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18,958</w:t>
            </w:r>
          </w:p>
        </w:tc>
        <w:tc>
          <w:tcPr>
            <w:tcW w:w="1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(17,453)</w:t>
            </w:r>
          </w:p>
        </w:tc>
      </w:tr>
      <w:tr>
        <w:trPr>
          <w:trHeight w:val="531"/>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Revenue by segment for the years ended December 31, 2024 and 2023 were as follows: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3"/>
        </w:trPr>
        <w:tc>
          <w:tcPr>
            <w:tcW w:w="8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5"/>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4"/>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2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593,527</w:t>
            </w:r>
          </w:p>
        </w:tc>
        <w:tc>
          <w:tcPr>
            <w:tcW w:w="5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579,330</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124,414</w:t>
            </w: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w:t>
            </w: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r>
      <w:tr>
        <w:trPr>
          <w:trHeight w:val="223"/>
        </w:trPr>
        <w:tc>
          <w:tcPr>
            <w:tcW w:w="8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705,473</w:t>
            </w:r>
          </w:p>
        </w:tc>
      </w:tr>
      <w:tr>
        <w:trPr>
          <w:trHeight w:val="20"/>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Revenue was $729.6 million for the year ended December 31, 2024, an increase of $24.2 million, or 3.4%, compared with the year ended December 31, 2023. The increase was driven by the North America segment, which experienced a revenue increase of $14.2 million, or 2.5%, driven by single-digit organic growth in certain end markets. The International segment revenue increased by $11.6 million, or 9.3%, due predominantly to low single-digit favorable impact of foreign exchange rates and by high single-digit organic growth. The Products and Systems segment increased by $0.7 million, or 5.2%, driven by higher sales volume.</w:t>
      </w:r>
    </w:p>
    <w:p>
      <w:pPr>
        <w:spacing w:after="0" w:line="21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57% and 59% of total revenue for the years ended December 31, 2024 and 2023, respectively. Aerospace and defense customer revenue comprised approximately 12% and 11% of total revenue for the years ended December 31, 2024 and 2023, respectively. Our top ten customers comprised approximately 36% of total revenue for the years ended December 31, 2024 and 2023, with no customer accounting for 10% or more of total revenue in either period.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96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74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r>
      <w:tr>
        <w:trPr>
          <w:trHeight w:val="196"/>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8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00" w:type="dxa"/>
            <w:vAlign w:val="bottom"/>
          </w:tcPr>
          <w:p>
            <w:pPr>
              <w:spacing w:after="0"/>
              <w:rPr>
                <w:sz w:val="17"/>
                <w:szCs w:val="17"/>
                <w:color w:val="auto"/>
              </w:rPr>
            </w:pPr>
          </w:p>
        </w:tc>
      </w:tr>
      <w:tr>
        <w:trPr>
          <w:trHeight w:val="23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Revenue by sub-category</w:t>
            </w: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Upstream</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167,741</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157,828</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101,278</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Downstream</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156,889</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415,995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Oil and gas upstream customer revenue increased approximately $9.9 million, or 6%, for the year ended December 31, 2024 compared to the year ended December 31, 2023, due to continued market share gains and expanded exploration operations, as compared to the prior year period.</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Midstream customer revenues decreased approximately $12.6 million, or 12%, for the year ended December 31, 2024 compared to the year ended December 31, 2023, due to decreased pipe inspection services.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Downstream customer revenue increased $5.7 million, or 4%, for the year ended December 31, 2024 compared to the year ended December 31, 2023, due to increased sales volume at customer refineries and increased customer turnarounds.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type, explained directly below the table.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96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7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r>
      <w:tr>
        <w:trPr>
          <w:trHeight w:val="196"/>
        </w:trPr>
        <w:tc>
          <w:tcPr>
            <w:tcW w:w="7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8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00" w:type="dxa"/>
            <w:vAlign w:val="bottom"/>
          </w:tcPr>
          <w:p>
            <w:pPr>
              <w:spacing w:after="0"/>
              <w:rPr>
                <w:sz w:val="17"/>
                <w:szCs w:val="17"/>
                <w:color w:val="auto"/>
              </w:rPr>
            </w:pPr>
          </w:p>
        </w:tc>
      </w:tr>
      <w:tr>
        <w:trPr>
          <w:trHeight w:val="23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Services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502,810</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470,433</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Shop Laboratories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58,188</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Analytical Solutions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72,458</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104,394</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729,640</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705,473</w:t>
            </w:r>
          </w:p>
        </w:tc>
      </w:tr>
      <w:tr>
        <w:trPr>
          <w:trHeight w:val="20"/>
        </w:trPr>
        <w:tc>
          <w:tcPr>
            <w:tcW w:w="7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presenting the allocation of revenues by type in the table above, management makes certain assumptions in its allocation of revenue from laboratories that provide more than one type of service. The allocation methodology and assumptions made are consistent for the years presented.</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Field Services revenue is comprised of revenue derived primarily by technicians performing asset inspections and maintenance services for our customers at locations other than our properties. Field Services revenue increased $32.4 million, or 6.9%, for the twelve months ended December 31, 2024 as compared to the twelve months ended December 31, 2023. The increase was due to increased sales volume in our oil and gas and power generation and transmission end markets for our North America and International segments.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Shop Laboratory revenue is comprised of quality assurance inspections of components and materials at our in-house laboratory facilities. Shop Laboratory revenue increased $6.4 million, or 11.0%, for the twelve months ended December 31, 2024 as compared to the twelve months ended December 31, 2023. The increase was due to increased sales volume related to our commercial aerospace and industrials end markets.</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Data Analytical Solutions revenue is comprised of revenue derived from data software sales &amp; subscriptions, implementation services and analytics that offer insights and recommendations to improve asset integrity. Data Analytical Solutions revenue is derived from work performed by our employees in our facilities, or at customer locations, using our proprietary portfolio of software applications. Data Analytical Solutions revenue decreased $3.3 million, or 4.6%, for the twelve months ended December 31, 2024 as compared to the twelve months ended December 31, 2023. The decrease was due primarily to decreased sales volume within PCMS, Onstream and other Data Analytical Solutions offerings within our North America segment.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revenue are comprised of locations that perform both asset inspection services and testing of components and materials at our in-house laboratories. Other revenue decreased $11.3 million, or 10.8%, for the twelve months ended December 31, 2024 as compared to the twelve months ended December 31, 2023. Other revenue for the year ended December 31, 2024 decreased primarily due to decreased sales within the other end markets within the North America and International segments as compared to the prior 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years ended December 31, 2024 and 2023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165,679</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163,960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39,812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33,610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213,109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203,807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Gross profit increased $9.3 million, or 4.6%, for the year ended December 31, 2024 compared to the year ended December 31, 2023, with a sales increase of $24.2 million, or 3.4%. Gross profit margin was 29.2% and 28.9% for the years ended December 31, 2024 and 2023, respectively, with the increase due to favorable sales mix. North America segment gross profit margins had a year-on-year decrease of 40 basis points to 27.9% for the year ended December 31, 2024, due primarily to unfavorable sales mix. International segment gross margins had a year-on-year increase of 230 basis points to 29.3% for the year ended December 31, 2024, due primarily to decreased inflationary pressures. Products and Systems segment gross margins increased by 540 basis points for the year ended December 31, 2024 to 55.1%, driven by favorable sales mix.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years ended December 31, 2024 and 2023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156,388</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166,749</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13,799</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12,269</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1,723</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10,104</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3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litigation charges (benefit),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1,058</w:t>
            </w:r>
          </w:p>
        </w:tc>
      </w:tr>
      <w:tr>
        <w:trPr>
          <w:trHeight w:val="223"/>
        </w:trPr>
        <w:tc>
          <w:tcPr>
            <w:tcW w:w="8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173,283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205,711</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r>
    </w:tbl>
    <w:p>
      <w:pPr>
        <w:spacing w:after="0" w:line="3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Operating expenses decreased $32.4 million, or 15.8%, for the year ended December 31, 2024 compared to the year ended December 31, 2023 due primarily to goodwill impairment charges being recorded in the prior period and reduced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reorganization charges recorded in the current period as compared to the prior period, which were a result of our Project Phoenix initiatives. Selling, general and administrative expenses decreased $10.4 million, or 6.2% for the year ended December 31, 2024 compared to the year ended December 31, 2023 primarily due to actions taken related to our Project Phoenix initiatives to reduce selling, general and administrative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segment income (loss) from operations to income (loss) before special items (unaudited)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Pr>
          <w:p>
            <w:pPr>
              <w:spacing w:after="0"/>
              <w:rPr>
                <w:sz w:val="16"/>
                <w:szCs w:val="16"/>
                <w:color w:val="auto"/>
              </w:rPr>
            </w:pPr>
          </w:p>
        </w:tc>
      </w:tr>
      <w:tr>
        <w:trPr>
          <w:trHeight w:val="242"/>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55,170</w:t>
            </w: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charges,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2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63,524</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57,188</w:t>
            </w:r>
          </w:p>
        </w:tc>
      </w:tr>
      <w:tr>
        <w:trPr>
          <w:trHeight w:val="47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w:t>
            </w: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47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48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(45,112)</w:t>
            </w: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w:t>
            </w:r>
          </w:p>
        </w:tc>
      </w:tr>
      <w:tr>
        <w:trPr>
          <w:trHeight w:val="23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special items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r>
      <w:tr>
        <w:trPr>
          <w:trHeight w:val="48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charges,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r>
      <w:tr>
        <w:trPr>
          <w:trHeight w:val="23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about Non-GAAP Measures"</w:t>
      </w:r>
      <w:r>
        <w:rPr>
          <w:rFonts w:ascii="Times New Roman" w:cs="Times New Roman" w:eastAsia="Times New Roman" w:hAnsi="Times New Roman"/>
          <w:sz w:val="18"/>
          <w:szCs w:val="18"/>
          <w:color w:val="auto"/>
        </w:rPr>
        <w:t xml:space="preserve"> in this Annual Report for an explanation of our use of non-GAAP measures.</w:t>
      </w:r>
    </w:p>
    <w:p>
      <w:pPr>
        <w:spacing w:after="0" w:line="2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Company income from operations (GAAP) increased by $41.7 million, or 2,191.7% compared to the year ended December 31, 2023. Total company income before special items (non-GAAP) increased by $21.0 million or 83.1% compared with the year ended December 31, 2023. Operating expenses, excluding special items (non-GAAP), as a percentage of revenue,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was 22.9% for the year ended December 31, 2024 compared to 25.3% for the year ended December 31, 2023. The primary driver for the increase in Total Company income before special items was increased sales in 2024 compared to 2023. Total Company income before special items as a percentage of revenue increased by 270 basis points to 6.3% for the year ended December 31, 2024, from 3.6% for the year ended December 31, 2023. Our discussion below is qualified by the unknown impact that the Russia - Ukraine war will continue to have on our business and the economy in general, including the resulting economic disruption. Refer to Item 1A. Risk Factors in Part I of this Annual Report for further discussion.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was $17.1 million and $16.8 million for the years ended December 31, 2024 and December 31, 2023, respectively. The increase was due to increased interest rates in the current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approximately 21.8% for the year ended December 31, 2024, compared to 6.5% for the year ended December 31, 2023. The increase in effective tax rate was primarily driven by an impairment of $13.8 million impairment in year ended December 31, 2023, partially offset by the releasing of valuation allowance of $1.8 million.</w:t>
      </w:r>
    </w:p>
    <w:p>
      <w:pPr>
        <w:spacing w:after="0" w:line="20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We are currently evaluating the impact of this guidance on our consolidated financial position, results of operations, and cash flows, but do not expect it to have a material impact.</w:t>
      </w:r>
    </w:p>
    <w:p>
      <w:pPr>
        <w:spacing w:after="0" w:line="20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On August 19, 2022, the United States enacted the Inflation Reduction Act, (the "Inflation Act"), a package intended to reduce inflation. The Inflation Act contains a variety of tax provisions, including a 15% corporate minimum tax, a tax on stock repurchases, and various tax credit opportunities. We evaluated the impact of this guidance on our consolidated financial position, results of operations, and cash flows, and do not expect it to have a material impact.</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funded our operations from cash provided from operations, bank borrowings and lease financings. Management believes that our existing cash and cash equivalents, anticipated cash flows from operating activities, and available borrowings under our Credit Agreement will be more than sufficient to meet anticipated cash needs over the next 12 months and for the foreseeable future. We generated operating cash flows of $50.1 million and $26.7 million for the years ended December 31, 2024 and 2023, respectively. Capital expenditures for the purchase of property, plant and equipment and of intangible assets was $23.0 million and $23.6 million for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2024 was $50.1 million, an increase of $23.4 million from the prior year period. The increase was mainly attributable to movements in working capital driven primarily by an increase in operating results and an increase in net accounts receivable collections in the current year as compared to the prior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5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$21.4 million, a decrease of $0.8 million used in investing activities from the prior year period. The Company used $0.7 million less cash for purchases of property, plant and equipment and intangible assets in 2024 compared to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was $27.4 million, compared to $7.7 million for the year ended December 31, 2023. Net repayment of our revolving credit facility and term loan was approximately $19.5 million higher compared to 2023. In addition, for the year ended December 31, 2024, we incurred approximately $0.3 million less in taxes paid related to net share settlement of share-based awards than the prior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 decrease of $0.7 million for the year ended December 31, 2024, compared to an increase of $0.2 million for the year ended December 31, 2023. The primary driver of the change was foreign currency fluctuations during the year ended December 31, 2024 related to the Euro and the US Dollar.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2024, we had cash and cash equivalents totaling $18.3 million and available borrowing capacity of up to $119.2 million under our Credit Agreement. Borrowings of $167.2 million and letters of credit of $3.1 million were outstanding under the Credit Agreement at December 31, 2024. We finance our operations primarily through our existing cash balances, cash collected from operations, bank borrowings and lease financing. We believe these sources are sufficient to fund our operations for the foreseeable future. As of December 31, 2024, we were in compliance with the terms of the Credit Agreement and will continuously monitor our compliance with the covenants contained in the Credit Agreement.</w:t>
      </w:r>
    </w:p>
    <w:p>
      <w:pPr>
        <w:spacing w:after="0" w:line="208"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 xml:space="preserve">The terms of our Credit Agreement are described in Note </w:t>
      </w:r>
      <w:r>
        <w:rPr>
          <w:rFonts w:ascii="Times New Roman" w:cs="Times New Roman" w:eastAsia="Times New Roman" w:hAnsi="Times New Roman"/>
          <w:sz w:val="18"/>
          <w:szCs w:val="18"/>
          <w:i w:val="1"/>
          <w:iCs w:val="1"/>
          <w:color w:val="auto"/>
        </w:rPr>
        <w:t>11-Long-Term Debt</w:t>
      </w:r>
      <w:r>
        <w:rPr>
          <w:rFonts w:ascii="Times New Roman" w:cs="Times New Roman" w:eastAsia="Times New Roman" w:hAnsi="Times New Roman"/>
          <w:sz w:val="18"/>
          <w:szCs w:val="18"/>
          <w:color w:val="auto"/>
        </w:rPr>
        <w:t xml:space="preserve"> of the notes to the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Outlook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Sources of Cash</w:t>
      </w:r>
    </w:p>
    <w:p>
      <w:pPr>
        <w:spacing w:after="0" w:line="22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expect our future sources of cash to include cash flow generated from our operating activities and borrowings under our Credit Agreement. Our revolving credit facility is available for cash advances required for working capital and for letters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to support our operations. Acquisitions, if any, are funded through available cash and borrowings under the Credit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Uses of Cash</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our future uses of cash will primarily be for repayment of debt, purchases or manufacture of field-testing equipment to support growth, additional investments in technology and software products and the replacement of existing assets and equipment used in our operations. We often make purchases to support new sources of revenues, particularly in our North America segment. In addition, we annually fund a certain amount of replacement equipment, including a portion of our fleet vehicles. We historically spend approximately 2% to 3% of our total revenues on capital expenditures, excluding acquisitions, and expect to fund these expenditures through a combination of cash and lease financing. Our cash capital expenditures, excluding acquisitions, for each of the years ended December 31, 2024 and 2023 were approximately 3.2% and 3.4% of revenues, respectively. We continue to take steps to reduce spending and preserve cash.</w:t>
      </w:r>
    </w:p>
    <w:p>
      <w:pPr>
        <w:spacing w:after="0" w:line="21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Our Credit Agreement does not limit our ability to acquire other businesses or companies except for certain provisions as described within Note </w:t>
      </w:r>
      <w:r>
        <w:rPr>
          <w:rFonts w:ascii="Times New Roman" w:cs="Times New Roman" w:eastAsia="Times New Roman" w:hAnsi="Times New Roman"/>
          <w:sz w:val="18"/>
          <w:szCs w:val="18"/>
          <w:i w:val="1"/>
          <w:iCs w:val="1"/>
          <w:color w:val="auto"/>
        </w:rPr>
        <w:t xml:space="preserve">11-Long-Term Debt </w:t>
      </w:r>
      <w:r>
        <w:rPr>
          <w:rFonts w:ascii="Times New Roman" w:cs="Times New Roman" w:eastAsia="Times New Roman" w:hAnsi="Times New Roman"/>
          <w:sz w:val="18"/>
          <w:szCs w:val="18"/>
          <w:color w:val="auto"/>
        </w:rPr>
        <w:t>of the notes to the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future capital spending may increase as we pursue growth opportunities and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equipment to meet or pursue business opportunities. Other investments in infrastructure, training and software may also be required to match our growth, but we plan to continue using a disciplined approach to building our business. In addition, we will use cash to fund our operating leases, finance leases, long-term debt repayments and various other obligations as they arise as noted within Note </w:t>
      </w:r>
      <w:r>
        <w:rPr>
          <w:rFonts w:ascii="Times New Roman" w:cs="Times New Roman" w:eastAsia="Times New Roman" w:hAnsi="Times New Roman"/>
          <w:sz w:val="18"/>
          <w:szCs w:val="18"/>
          <w:i w:val="1"/>
          <w:iCs w:val="1"/>
          <w:color w:val="auto"/>
        </w:rPr>
        <w:t>11-Long-Term Debt</w:t>
      </w:r>
      <w:r>
        <w:rPr>
          <w:rFonts w:ascii="Times New Roman" w:cs="Times New Roman" w:eastAsia="Times New Roman" w:hAnsi="Times New Roman"/>
          <w:sz w:val="18"/>
          <w:szCs w:val="18"/>
          <w:color w:val="auto"/>
        </w:rPr>
        <w:t xml:space="preserve"> and Note </w:t>
      </w:r>
      <w:r>
        <w:rPr>
          <w:rFonts w:ascii="Times New Roman" w:cs="Times New Roman" w:eastAsia="Times New Roman" w:hAnsi="Times New Roman"/>
          <w:sz w:val="18"/>
          <w:szCs w:val="18"/>
          <w:i w:val="1"/>
          <w:iCs w:val="1"/>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the consolidated financial statements</w:t>
      </w:r>
      <w:r>
        <w:rPr>
          <w:rFonts w:ascii="Times New Roman" w:cs="Times New Roman" w:eastAsia="Times New Roman" w:hAnsi="Times New Roman"/>
          <w:sz w:val="18"/>
          <w:szCs w:val="18"/>
          <w:i w:val="1"/>
          <w:iCs w:val="1"/>
          <w:color w:val="auto"/>
        </w:rPr>
        <w:t>.</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or public or private equity,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acceptable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that we make estimates and assumptions that affect the reported amounts of assets and liabilities and disclosure of contingent assets and liabilities at the date of financial statements and the reported amounts of revenues and expenses during the reporting period. We have established policies and control procedures intended to ensure that estimation methods, including any judgments made as part of such methods, are well-controlled, independently reviewed and applied consistently from period to period. The accounting policies that we believe require more significant estimates and assumptions include revenue recognition, acquisitions, long-lived assets and goodwill.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spacing w:after="0" w:line="19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comprise the more significant estimates and assumptions used in the preparation of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The majority of our revenues are derived from providing services on a time and material basis and are short-term in nature. We account for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We provide highly integrated and bundled inspection services to our customers. Some of our contracts have multiple performance obligations, most commonly due to the contract providing both goods and services. For contracts with multiple performance obligations, we allocate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2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We also utilize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any significant remaining performance obligations to be satisfied within one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majority of our revenues are short-term in nature. We have many Master Service Agreements ("MSAs") that specify an overall framework and contract terms, where we and our customers agree upon services or products to be provided. The actual contracting to provide services or furnish products are triggered by a work order, purchase order, or some similar document issued pursuant to an MSA which sets forth the scope of services and/or identifies the products to be provided. From time to time, we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perform a review of long-lived assets (or asset groups) for impairment when events or changes in circumstances indicate the carrying value of such assets may not be recoverable. If an indication of impairment is present, we compare the estimated undiscounted future net cash flows to be generated by the asset (or asset group) to its carrying amount. If the undiscounted future net cash flows are less than the carrying amount of the asset (or asset group), we record an impairment loss equal to the excess of the asset’s carrying amount over its fair value. We estimate fair value based on valuation techniques such as a discounted cash flow analysis or a comparison to fair values of similar assets. As of December 31, 2024 and December 31, 2023, we had $80.9 million and $81.0 million in net property, plant and equipment, respectively, and $39.7 million and $44.0 million in intangible assets, net, respectively.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Goodwill represents the excess purchase price of acquired businesses over the fair values attributed to underlying net tangible assets and identifiable intangible assets. We test goodwill for impairment at a “reporting unit” level (which for us is represented by (i) our North America segment, (ii) our Products and Systems segment, (iii) the European component of our International segment and (iv) the Brazilian component of our International segment). Our annual impairment test is conducted on the first day of our fourth quarter, which is October 1. Goodwill is also tested for impairment whenever an event occurs or circumstances change that would more likely than not reduce the fair value of a reporting unit below its carrying amount.</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testing for goodwill impairment, we have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we conclude that it is not more likely than not that the fair value of a reporting unit is less than its carrying amount, then performing a quantitative impairment test is not necessary. If we conclude otherwise, we are required to perform a quantitative impairment test.</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 impairment will be recorded in the amount that the fair value is less than the carrying value. We consider the income and market approaches to estimating the fair value of our reporting units, which requires significant judgment in evaluation of economic and industry trends, estimated future cash flows, discount rates and other factors. Sustained declines in our stock price and related market capitalization could impact key assumptions in the overall estimated fair values of our reporting units and could result in non-cash impairment charges that could be material to our consolidated balance sheet or results of operations.</w:t>
      </w:r>
    </w:p>
    <w:p>
      <w:pPr>
        <w:spacing w:after="0" w:line="21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a triggering event was identified within the Company's reporting units within the International segment due to decreased gross margin in the current period as a result of inflationary pressures and rising energy costs impacting the International reporting units' operations. As a result, the Company performed an interim quantitative goodwill impairment test.</w:t>
      </w: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estimated using a terminal value calculation, which incorporates historical and forecasted trends, including an estimate of long-term future growth rates, based on the Company’s most recent views of the long-term outlook for each reporting unit. The internal forecasts include assumptions about future profitability,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internally developed forecasts, updated for recent events. Increased interest rates in the current period increased the discount rate associated with the reporting units which contributed to an unfavorable decrease in the reporting units value.</w:t>
      </w:r>
    </w:p>
    <w:p>
      <w:pPr>
        <w:spacing w:after="0" w:line="2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market approach valuation was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3"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7"/>
          <w:szCs w:val="17"/>
          <w:color w:val="auto"/>
        </w:rPr>
        <w:t>Based upon the results of the interim quantitative goodwill impairment test, the Company recorded an impairment charge of $13.8 million within the International reporting units. The impairment was calculated based on the difference between the estimated fair value and the carrying value of the reporting units. Any significant adverse changes in future periods to the Company’s internal forecasts or the external market conditions, if any, could reasonably be expected to negatively affect its key assumptions and may result in future goodwill impairment charges which could be material.</w:t>
      </w:r>
    </w:p>
    <w:p>
      <w:pPr>
        <w:spacing w:after="0" w:line="1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elected to perform a quantitative assessment of goodwill on October 1, 2024. Our quantitative assessment considered relevant events and circumstances occurring since our interim quantitative goodwill impairment test performed as of September 30, 2024. Specifically, we considered changes in macroeconomic conditions, industry and market conditions, our internal forecasts of future revenue and expenses, our stock price, any significant events affecting the Company and actual changes in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of our net assets. After considering all positive and negative evidence for the assessment as of September 30, 2024, we concluded that it was not more likely than not that our carrying values exceeded fair values and as such, no additional impairment was indicated.</w:t>
      </w:r>
    </w:p>
    <w:p>
      <w:pPr>
        <w:spacing w:after="0" w:line="18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Additionally, as of December 31, 2024, there are no indicators of an impairment. See Note </w:t>
      </w:r>
      <w:r>
        <w:rPr>
          <w:rFonts w:ascii="Times New Roman" w:cs="Times New Roman" w:eastAsia="Times New Roman" w:hAnsi="Times New Roman"/>
          <w:sz w:val="18"/>
          <w:szCs w:val="18"/>
          <w:i w:val="1"/>
          <w:iCs w:val="1"/>
          <w:color w:val="auto"/>
        </w:rPr>
        <w:t>8-Goodwill</w:t>
      </w:r>
      <w:r>
        <w:rPr>
          <w:rFonts w:ascii="Times New Roman" w:cs="Times New Roman" w:eastAsia="Times New Roman" w:hAnsi="Times New Roman"/>
          <w:sz w:val="18"/>
          <w:szCs w:val="18"/>
          <w:color w:val="auto"/>
        </w:rPr>
        <w:t xml:space="preserve"> of the notes to the consolidated financial statements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allocate the purchase price of acquired businesses to their identifiable tangible assets and liabilities as well as identifiable intangible assets, such as customer relationships, technology, non-compete agreements and trade names. Allocations are based on estimated fair values of assets and liabilities, which reflects assumptions that would be made by typical market participants if they were to buy or sell each asset on an individual asset basis.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ASC 820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w:t>
      </w:r>
      <w:r>
        <w:rPr>
          <w:rFonts w:ascii="Times New Roman" w:cs="Times New Roman" w:eastAsia="Times New Roman" w:hAnsi="Times New Roman"/>
          <w:sz w:val="18"/>
          <w:szCs w:val="18"/>
          <w:color w:val="auto"/>
        </w:rPr>
        <w:t xml:space="preserve">Deferred taxes are recorded for any differences between the assigned values and tax bases of assets and liabilities. We typically engage third-party valuation experts to assist in determining the fair values for both identifiable tangible and intangible assets. The judgments made in determining the estimated fair value assigned to each class of assets acquired and liabilities assumed, as well as asset lives, could materially impact our results of operations. See Note </w:t>
      </w:r>
      <w:r>
        <w:rPr>
          <w:rFonts w:ascii="Times New Roman" w:cs="Times New Roman" w:eastAsia="Times New Roman" w:hAnsi="Times New Roman"/>
          <w:sz w:val="18"/>
          <w:szCs w:val="18"/>
          <w:i w:val="1"/>
          <w:iCs w:val="1"/>
          <w:color w:val="auto"/>
        </w:rPr>
        <w:t>7-Acquisitions</w:t>
      </w:r>
      <w:r>
        <w:rPr>
          <w:rFonts w:ascii="Times New Roman" w:cs="Times New Roman" w:eastAsia="Times New Roman" w:hAnsi="Times New Roman"/>
          <w:sz w:val="18"/>
          <w:szCs w:val="18"/>
          <w:color w:val="auto"/>
        </w:rPr>
        <w:t xml:space="preserve"> to the consolidated financial statements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6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color w:val="080808"/>
        </w:rPr>
        <w:t xml:space="preserve">For information about recent accounting pronouncements, see Note </w:t>
      </w:r>
      <w:r>
        <w:rPr>
          <w:rFonts w:ascii="Times New Roman" w:cs="Times New Roman" w:eastAsia="Times New Roman" w:hAnsi="Times New Roman"/>
          <w:sz w:val="18"/>
          <w:szCs w:val="18"/>
          <w:i w:val="1"/>
          <w:iCs w:val="1"/>
          <w:color w:val="000000"/>
        </w:rPr>
        <w:t>1-Summary of Significant Accounting Policies and Practices</w:t>
      </w:r>
      <w:r>
        <w:rPr>
          <w:rFonts w:ascii="Times New Roman" w:cs="Times New Roman" w:eastAsia="Times New Roman" w:hAnsi="Times New Roman"/>
          <w:sz w:val="18"/>
          <w:szCs w:val="18"/>
          <w:color w:val="080808"/>
        </w:rPr>
        <w:t xml:space="preserve"> of the notes to the consolidated financial statements.</w:t>
      </w:r>
    </w:p>
    <w:p>
      <w:pPr>
        <w:spacing w:after="0" w:line="18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includes cash equivalents for which the market values are not significantly affected by changes in interest rates. Our interest rate risk results primarily from our variable rate indebtedness under our credit facility, which is influenced by movements in short-term rates. Borrowings under our $190 million revolving credit facility as well as our $125 million term loan bear interest at Secured Overnight Financing Rate ("SOFR"), plus a credit spread adjustment and applicable SOFR margin, ranging from 1.25% to 2.75%, based upon our Total Consolidated Debt Leverage Ratio. Based on the amount of our variable rate debt of $167.2 million at December 31, 2024, an increase in interest rates by one hundred basis points from our current rate would increase annual interest expense by approximately $1.9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foreign currency exposure related to our operations in foreign locations. This foreign currency exposure, particularly the Euro, British Pound Sterling, Brazilian Real, Canadian Dollar and the Indian Rupee, arises primarily from the translation of our foreign subsidiaries’ financial statements into U.S. Dollars. Gains and losses relating to nonfunctional currency transactions, are reported in the Consolidated Statements of Income (Loss).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Translation adjustments for these movements are recorded as a separate component of Accumulated Other Comprehensive Income (Loss) in Stockholder Equity. For the year ended December 31, 2024, a 10% movement, favorable or unfavorable, in the average U.S. Dollar exchange rates would cause a change in adjusted operating income of approximately $1.5 million. We do not currently enter into forward exchange contracts to hedge exposures denominated in foreign currencies. We may consider entering into hedging or forward exchange contracts in the future, as sales in international currencies increase due to growth in our International segment.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Mistras Group,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Mistras Group, Inc. and its subsidiaries (the "Company") as of December 31, 2024 and 2023, and the related consolidated statements of income (loss), of comprehensive income (loss), of equity and of cash flows for the years then ended,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2"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1"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derives the majority of its revenue by providing services on a time and material basis that are short-term in nature. Revenue is recognized over time as work progresses for the Company's service deliverables, which includes providing testing, inspection and mechanical services to customers. Revenue is recognized over time, based on time and material incurred to date which best portrays the transfer of control to the customer. For the year ended December 31, 2024, the Company’s revenue was $729.6 million, a majority of which relates to revenue recognized for providing services on a time and material basis.</w:t>
      </w:r>
    </w:p>
    <w:p>
      <w:pPr>
        <w:spacing w:after="0" w:line="2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is a critical audit matter is a high degree of auditor effort in performing procedures related to the Company's revenue recognition.</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revenue recognized over time. These procedures also included, among others (i) evaluating revenue transactions by testing the issuance and settlement of invoices and credit memos, tracing transactions not settled to a detailed listing of accounts receivable, and testing the completeness and accuracy of data provided by management; (ii) testing the unbilled revenue accrual at the end of the period, on a test basis, by obtaining the unbilled revenue analysis and supporting documentation, such as invoices, purchase orders/contracts, and timesheets; and (iii) confirming, on a sample basis, outstanding customer invoice balances as of December 31, 2024 and obtaining and inspecting source documents, including invoices, delivery documents, and subsequent cash receipts, where applicable for confirmations not returned.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7" w:lineRule="auto"/>
        <w:rPr>
          <w:sz w:val="20"/>
          <w:szCs w:val="20"/>
          <w:color w:val="auto"/>
        </w:rPr>
      </w:pPr>
      <w:r>
        <w:rPr>
          <w:rFonts w:ascii="Times New Roman" w:cs="Times New Roman" w:eastAsia="Times New Roman" w:hAnsi="Times New Roman"/>
          <w:sz w:val="18"/>
          <w:szCs w:val="18"/>
          <w:color w:val="auto"/>
        </w:rPr>
        <w:t>Philadelphia, Pennsylvania</w:t>
      </w:r>
    </w:p>
    <w:p>
      <w:pPr>
        <w:spacing w:after="0"/>
        <w:rPr>
          <w:sz w:val="20"/>
          <w:szCs w:val="20"/>
          <w:color w:val="auto"/>
        </w:rPr>
      </w:pPr>
      <w:r>
        <w:rPr>
          <w:rFonts w:ascii="Times New Roman" w:cs="Times New Roman" w:eastAsia="Times New Roman" w:hAnsi="Times New Roman"/>
          <w:sz w:val="18"/>
          <w:szCs w:val="18"/>
          <w:color w:val="auto"/>
        </w:rPr>
        <w:t>March 11,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Mistras Group,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income (loss), comprehensive income (loss), equity and cash flows of Mistras Group, Inc. and subsidiaries (the Company) for the year ended December 31, 2022, and the related notes (collectively, the consolidated financial statements). In our opinion, the consolidated financial statements present fairly, in all material respects, the results of operations of the Company and its cash flows for the year ended December 31, 2022, in conformity with U.S. generally accepted accounting principles.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2013 to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Hills, New Jersey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2023, except for Note 19, as to which the date is March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thousands, except share and per share data</w:t>
      </w:r>
      <w:r>
        <w:rPr>
          <w:rFonts w:ascii="Times New Roman" w:cs="Times New Roman" w:eastAsia="Times New Roman" w:hAnsi="Times New Roman"/>
          <w:sz w:val="18"/>
          <w:szCs w:val="18"/>
          <w:b w:val="1"/>
          <w:bCs w:val="1"/>
          <w:color w:val="auto"/>
        </w:rPr>
        <w:t>)</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0"/>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17,646</w:t>
            </w:r>
          </w:p>
        </w:tc>
      </w:tr>
      <w:tr>
        <w:trPr>
          <w:trHeight w:val="22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132,847</w:t>
            </w:r>
          </w:p>
        </w:tc>
      </w:tr>
      <w:tr>
        <w:trPr>
          <w:trHeight w:val="230"/>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r>
      <w:tr>
        <w:trPr>
          <w:trHeight w:val="22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w:t>
            </w:r>
          </w:p>
        </w:tc>
      </w:tr>
      <w:tr>
        <w:trPr>
          <w:trHeight w:val="223"/>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180,356</w:t>
            </w:r>
          </w:p>
        </w:tc>
      </w:tr>
      <w:tr>
        <w:trPr>
          <w:trHeight w:val="22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80,972</w:t>
            </w: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43,994</w:t>
            </w:r>
          </w:p>
        </w:tc>
      </w:tr>
      <w:tr>
        <w:trPr>
          <w:trHeight w:val="22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r>
      <w:tr>
        <w:trPr>
          <w:trHeight w:val="229"/>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3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39,784</w:t>
            </w:r>
          </w:p>
        </w:tc>
      </w:tr>
      <w:tr>
        <w:trPr>
          <w:trHeight w:val="223"/>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534,776</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w:t>
            </w:r>
          </w:p>
        </w:tc>
      </w:tr>
      <w:tr>
        <w:trPr>
          <w:trHeight w:val="22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84,331</w:t>
            </w:r>
          </w:p>
        </w:tc>
      </w:tr>
      <w:tr>
        <w:trPr>
          <w:trHeight w:val="230"/>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w:t>
            </w:r>
          </w:p>
        </w:tc>
      </w:tr>
      <w:tr>
        <w:trPr>
          <w:trHeight w:val="22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30"/>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23"/>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116,523</w:t>
            </w: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181,499</w:t>
            </w:r>
          </w:p>
        </w:tc>
      </w:tr>
      <w:tr>
        <w:trPr>
          <w:trHeight w:val="23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2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32,438</w:t>
            </w:r>
          </w:p>
        </w:tc>
      </w:tr>
      <w:tr>
        <w:trPr>
          <w:trHeight w:val="196"/>
        </w:trPr>
        <w:tc>
          <w:tcPr>
            <w:tcW w:w="84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324,143</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344,273</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8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18)</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57"/>
        </w:trPr>
        <w:tc>
          <w:tcPr>
            <w:tcW w:w="8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31,010,375 and 30,597,633 shares issued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247,165</w:t>
            </w:r>
          </w:p>
        </w:tc>
      </w:tr>
      <w:tr>
        <w:trPr>
          <w:trHeight w:val="230"/>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r>
      <w:tr>
        <w:trPr>
          <w:trHeight w:val="229"/>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(28,336)</w:t>
            </w:r>
          </w:p>
        </w:tc>
      </w:tr>
      <w:tr>
        <w:trPr>
          <w:trHeight w:val="223"/>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190,192</w:t>
            </w:r>
          </w:p>
        </w:tc>
      </w:tr>
      <w:tr>
        <w:trPr>
          <w:trHeight w:val="229"/>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190,503</w:t>
            </w:r>
          </w:p>
        </w:tc>
      </w:tr>
      <w:tr>
        <w:trPr>
          <w:trHeight w:val="223"/>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534,776</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thousands, except per share data</w:t>
      </w:r>
      <w:r>
        <w:rPr>
          <w:rFonts w:ascii="Times New Roman" w:cs="Times New Roman" w:eastAsia="Times New Roman" w:hAnsi="Times New Roman"/>
          <w:sz w:val="18"/>
          <w:szCs w:val="18"/>
          <w:b w:val="1"/>
          <w:bCs w:val="1"/>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0"/>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687,373</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466,567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22,633</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198,173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166,400</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litigation charges (benefit),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(benefit) for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30,229</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0"/>
        </w:trPr>
        <w:tc>
          <w:tcPr>
            <w:tcW w:w="7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r>
      <w:tr>
        <w:trPr>
          <w:trHeight w:val="270"/>
        </w:trPr>
        <w:tc>
          <w:tcPr>
            <w:tcW w:w="7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Foreign currency translation adjustments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 (loss) attributable to Mistras Group, Inc.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w:t>
            </w: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5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Mistras Group,</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Inc.</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0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860" w:type="dxa"/>
            <w:vAlign w:val="bottom"/>
            <w:gridSpan w:val="3"/>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8"/>
                <w:szCs w:val="8"/>
                <w:color w:val="auto"/>
              </w:rPr>
            </w:pPr>
          </w:p>
        </w:tc>
        <w:tc>
          <w:tcPr>
            <w:tcW w:w="108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00" w:type="dxa"/>
            <w:vAlign w:val="bottom"/>
          </w:tcPr>
          <w:p>
            <w:pPr>
              <w:spacing w:after="0"/>
              <w:rPr>
                <w:sz w:val="8"/>
                <w:szCs w:val="8"/>
                <w:color w:val="auto"/>
              </w:rPr>
            </w:pPr>
          </w:p>
        </w:tc>
        <w:tc>
          <w:tcPr>
            <w:tcW w:w="110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paid-in capital</w:t>
            </w:r>
          </w:p>
        </w:tc>
        <w:tc>
          <w:tcPr>
            <w:tcW w:w="1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12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7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238,687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(17,988)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200,683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200,912</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6,574</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(13,084)</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5,335</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0" w:type="dxa"/>
            <w:vAlign w:val="bottom"/>
          </w:tcPr>
          <w:p>
            <w:pPr>
              <w:spacing w:after="0"/>
              <w:rPr>
                <w:sz w:val="1"/>
                <w:szCs w:val="1"/>
                <w:color w:val="auto"/>
              </w:rPr>
            </w:pPr>
          </w:p>
        </w:tc>
      </w:tr>
      <w:tr>
        <w:trPr>
          <w:trHeight w:val="16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29,895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243,031</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(11,489)</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(33,390)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198,450</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198,749</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(17,445)</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5,058</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5,712</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0" w:type="dxa"/>
            <w:vAlign w:val="bottom"/>
          </w:tcPr>
          <w:p>
            <w:pPr>
              <w:spacing w:after="0"/>
              <w:rPr>
                <w:sz w:val="1"/>
                <w:szCs w:val="1"/>
                <w:color w:val="auto"/>
              </w:rPr>
            </w:pPr>
          </w:p>
        </w:tc>
      </w:tr>
      <w:tr>
        <w:trPr>
          <w:trHeight w:val="175"/>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247,165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190,503</w:t>
            </w:r>
          </w:p>
        </w:tc>
        <w:tc>
          <w:tcPr>
            <w:tcW w:w="0" w:type="dxa"/>
            <w:vAlign w:val="bottom"/>
          </w:tcPr>
          <w:p>
            <w:pPr>
              <w:spacing w:after="0"/>
              <w:rPr>
                <w:sz w:val="1"/>
                <w:szCs w:val="1"/>
                <w:color w:val="auto"/>
              </w:rPr>
            </w:pPr>
          </w:p>
        </w:tc>
      </w:tr>
      <w:tr>
        <w:trPr>
          <w:trHeight w:val="163"/>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18,970</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(14,342)</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5,072</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31,010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250,832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(9,984)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(42,682)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198,568</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198,895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0" w:type="dxa"/>
            <w:vAlign w:val="bottom"/>
            <w:gridSpan w:val="6"/>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8"/>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6,574</w:t>
            </w:r>
          </w:p>
        </w:tc>
        <w:tc>
          <w:tcPr>
            <w:tcW w:w="0" w:type="dxa"/>
            <w:vAlign w:val="bottom"/>
          </w:tcPr>
          <w:p>
            <w:pPr>
              <w:spacing w:after="0"/>
              <w:rPr>
                <w:sz w:val="1"/>
                <w:szCs w:val="1"/>
                <w:color w:val="auto"/>
              </w:rPr>
            </w:pPr>
          </w:p>
        </w:tc>
      </w:tr>
      <w:tr>
        <w:trPr>
          <w:trHeight w:val="170"/>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34,099</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33,294</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5,335</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Impairment charges</w:t>
            </w:r>
          </w:p>
        </w:tc>
        <w:tc>
          <w:tcPr>
            <w:tcW w:w="8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Bad debt provision for troubled customers, net of recoveries</w:t>
            </w:r>
          </w:p>
        </w:tc>
        <w:tc>
          <w:tcPr>
            <w:tcW w:w="8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allowance for credit losses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currency (gain) loss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finance costs</w:t>
            </w:r>
          </w:p>
        </w:tc>
        <w:tc>
          <w:tcPr>
            <w:tcW w:w="8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Fair value adjustments to contingent consideration</w:t>
            </w:r>
          </w:p>
        </w:tc>
        <w:tc>
          <w:tcPr>
            <w:tcW w:w="8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 net of effect of acquisitions and dispositions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(17,225)</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Inventories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5,959</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(6,454)</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 payable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0" w:type="dxa"/>
            <w:vAlign w:val="bottom"/>
          </w:tcPr>
          <w:p>
            <w:pPr>
              <w:spacing w:after="0"/>
              <w:rPr>
                <w:sz w:val="1"/>
                <w:szCs w:val="1"/>
                <w:color w:val="auto"/>
              </w:rPr>
            </w:pPr>
          </w:p>
        </w:tc>
      </w:tr>
      <w:tr>
        <w:trPr>
          <w:trHeight w:val="170"/>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contingent consideration in excess of initial estimate</w:t>
            </w:r>
          </w:p>
        </w:tc>
        <w:tc>
          <w:tcPr>
            <w:tcW w:w="8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0" w:type="dxa"/>
            <w:vAlign w:val="bottom"/>
          </w:tcPr>
          <w:p>
            <w:pPr>
              <w:spacing w:after="0"/>
              <w:rPr>
                <w:sz w:val="1"/>
                <w:szCs w:val="1"/>
                <w:color w:val="auto"/>
              </w:rPr>
            </w:pPr>
          </w:p>
        </w:tc>
      </w:tr>
      <w:tr>
        <w:trPr>
          <w:trHeight w:val="175"/>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50,129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26,748</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26,406</w:t>
            </w:r>
          </w:p>
        </w:tc>
        <w:tc>
          <w:tcPr>
            <w:tcW w:w="0" w:type="dxa"/>
            <w:vAlign w:val="bottom"/>
          </w:tcPr>
          <w:p>
            <w:pPr>
              <w:spacing w:after="0"/>
              <w:rPr>
                <w:sz w:val="1"/>
                <w:szCs w:val="1"/>
                <w:color w:val="auto"/>
              </w:rPr>
            </w:pPr>
          </w:p>
        </w:tc>
      </w:tr>
      <w:tr>
        <w:trPr>
          <w:trHeight w:val="171"/>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property, plant and equipment</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(17,902)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(12,591)</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intangible assets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sale of equipment</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0" w:type="dxa"/>
            <w:vAlign w:val="bottom"/>
          </w:tcPr>
          <w:p>
            <w:pPr>
              <w:spacing w:after="0"/>
              <w:rPr>
                <w:sz w:val="1"/>
                <w:szCs w:val="1"/>
                <w:color w:val="auto"/>
              </w:rPr>
            </w:pPr>
          </w:p>
        </w:tc>
      </w:tr>
      <w:tr>
        <w:trPr>
          <w:trHeight w:val="163"/>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(21,366)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(22,133)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(12,238)</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Repayment of finance lease obligations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borrowings of long-term debt</w:t>
            </w:r>
          </w:p>
        </w:tc>
        <w:tc>
          <w:tcPr>
            <w:tcW w:w="8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(81,405)</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revolver</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83,000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192,501</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Repayments of revolver</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(83,501)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(246,750)</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financing costs</w:t>
            </w:r>
          </w:p>
        </w:tc>
        <w:tc>
          <w:tcPr>
            <w:tcW w:w="8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contingent consideration for business acquisitions</w:t>
            </w:r>
          </w:p>
        </w:tc>
        <w:tc>
          <w:tcPr>
            <w:tcW w:w="8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paid related to net share settlement of share-based awards</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0" w:type="dxa"/>
            <w:vAlign w:val="bottom"/>
          </w:tcPr>
          <w:p>
            <w:pPr>
              <w:spacing w:after="0"/>
              <w:rPr>
                <w:sz w:val="1"/>
                <w:szCs w:val="1"/>
                <w:color w:val="auto"/>
              </w:rPr>
            </w:pPr>
          </w:p>
        </w:tc>
      </w:tr>
      <w:tr>
        <w:trPr>
          <w:trHeight w:val="163"/>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(27,398)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(16,323)</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w:t>
            </w:r>
          </w:p>
        </w:tc>
        <w:tc>
          <w:tcPr>
            <w:tcW w:w="0" w:type="dxa"/>
            <w:vAlign w:val="bottom"/>
          </w:tcPr>
          <w:p>
            <w:pPr>
              <w:spacing w:after="0"/>
              <w:rPr>
                <w:sz w:val="1"/>
                <w:szCs w:val="1"/>
                <w:color w:val="auto"/>
              </w:rPr>
            </w:pPr>
          </w:p>
        </w:tc>
      </w:tr>
      <w:tr>
        <w:trPr>
          <w:trHeight w:val="163"/>
        </w:trPr>
        <w:tc>
          <w:tcPr>
            <w:tcW w:w="7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Beginning of period</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20,488</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24,110</w:t>
            </w:r>
          </w:p>
        </w:tc>
        <w:tc>
          <w:tcPr>
            <w:tcW w:w="0" w:type="dxa"/>
            <w:vAlign w:val="bottom"/>
          </w:tcPr>
          <w:p>
            <w:pPr>
              <w:spacing w:after="0"/>
              <w:rPr>
                <w:sz w:val="1"/>
                <w:szCs w:val="1"/>
                <w:color w:val="auto"/>
              </w:rPr>
            </w:pPr>
          </w:p>
        </w:tc>
      </w:tr>
      <w:tr>
        <w:trPr>
          <w:trHeight w:val="20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 of period</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17,646</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20,488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paid</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0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net</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8,603</w:t>
            </w:r>
          </w:p>
        </w:tc>
        <w:tc>
          <w:tcPr>
            <w:tcW w:w="0" w:type="dxa"/>
            <w:vAlign w:val="bottom"/>
          </w:tcPr>
          <w:p>
            <w:pPr>
              <w:spacing w:after="0"/>
              <w:rPr>
                <w:sz w:val="1"/>
                <w:szCs w:val="1"/>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 net</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6,410</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6,901</w:t>
            </w:r>
          </w:p>
        </w:tc>
        <w:tc>
          <w:tcPr>
            <w:tcW w:w="12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(3,069)</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Noncash investing and financing</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Equipment acquired through finance lease obligations</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9,899</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7,125</w:t>
            </w:r>
          </w:p>
        </w:tc>
        <w:tc>
          <w:tcPr>
            <w:tcW w:w="12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5,076</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75"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customers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building real-time monitoring equipment to enable safe travel across bridges; and helping to propel sustainability, the Company helps the world at large.</w:t>
      </w:r>
    </w:p>
    <w:p>
      <w:pPr>
        <w:spacing w:after="0" w:line="22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enhances value for its customers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 Our segments are as follows:</w:t>
      </w:r>
    </w:p>
    <w:p>
      <w:pPr>
        <w:spacing w:after="0" w:line="250" w:lineRule="exact"/>
        <w:rPr>
          <w:sz w:val="20"/>
          <w:szCs w:val="20"/>
          <w:color w:val="auto"/>
        </w:rPr>
      </w:pPr>
    </w:p>
    <w:p>
      <w:pPr>
        <w:ind w:left="900" w:right="120" w:hanging="244"/>
        <w:spacing w:after="0" w:line="261" w:lineRule="auto"/>
        <w:tabs>
          <w:tab w:leader="none" w:pos="89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80" w:hanging="244"/>
        <w:spacing w:after="0" w:line="267"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200" w:hanging="244"/>
        <w:spacing w:after="0" w:line="284"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The Company provides products and services to countries throughout the Middle East, where lawfully permitted, and in accordance with United States regulations. We continue to monitor the on-going conflicts throughout the Middle East. These conflicts caused disruptions in the Company's European operations in 2023 with increased costs associated with higher energy costs, amongst others. These disruptions have largely subsided in 2024. We may also experience increased costs associated with tariffs or trade barriers (including recent U.S. tariffs imposed or threatened to be imposed on China, Canada, Mexico and other countries and any retaliatory actions taken by such countries). The Company will continue to monitor market conditions and respond accordingly.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guidance on the consolidation of variable interest entities ("VIEs") that requires companies to utilize a qualitative approach to determine whether it is the primary beneficiary of a VIE. The process for identifying the primary beneficiary of a VIE requires consideration of the factors that indicate a party has the power to direct the activities that most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significantly impact the VIE’s economic performance, including powers granted to the VIE’s program manager, powers contained in the VIE governing board and, to a certain extent, a company’s economic interest in the VIE. The Company analyzes its joint ventures and classifies them as either:</w:t>
      </w:r>
    </w:p>
    <w:p>
      <w:pPr>
        <w:spacing w:after="0" w:line="22" w:lineRule="exact"/>
        <w:rPr>
          <w:sz w:val="20"/>
          <w:szCs w:val="20"/>
          <w:color w:val="auto"/>
        </w:rPr>
      </w:pPr>
    </w:p>
    <w:p>
      <w:pPr>
        <w:ind w:left="66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 VIE that must be consolidated because the Company is the primary beneficiary, or the joint venture is not a VIE and the Company holds the majority voting interest with no significant participative rights available to the other partners; or</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 VIE that does not require consolidation and is treated as an equity method investment because the Company is not the primary beneficiary or the joint venture is not a VIE and the Company does not hold the majority voting interest.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above analysis, if it is determined that the Company has the power to direct the activities that most significantly impact the joint venture’s economic performance, the Company considers whether or not it has the obligation to absorb losses or rights to receive benefits of the VIE that could potentially be significant to the VIE.</w:t>
      </w:r>
    </w:p>
    <w:p>
      <w:pPr>
        <w:spacing w:after="0" w:line="20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became the primary beneficiary in July 2020 of a VIE in which the Company has a 49% interest in a limited partnership, and a 49% stockholder in the corporate general partner of the limited partnership. The Company consolidated the financial statements of the VIE with the financial statements of the Company. As of and for the year ended December 31, 2024, the VIE had immaterial assets and had approximately $6.0 million of revenue. The Company is the primary sub-contractor of the VIE.</w:t>
      </w:r>
    </w:p>
    <w:p>
      <w:pPr>
        <w:spacing w:after="0" w:line="2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the accounts of Mistras Group, Inc. as well as its wholly-owned subsidiaries, majority-owned subsidiaries and consolidated VIE. For subsidiaries in which the Company’s ownership interest is less than 100%, the non-controlling interests are reported in stockholders’ equity in the accompanying Consolidated Balance Sheets. The non-controlling interests in net results, net of tax, is classified separately in the accompanying Consolidated Statements of Income (Loss). All significant intercompany accounts and transactions have been eliminated in consolidation. The results of operations of companies acquired are included from the date of acquisition.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generally accepted accounting principles ("U.S. GAAP") requires that the Company make estimates and assumptions that affect the reported amounts of assets, liabilities, revenue and expenses and disclosure of contingent assets and liabilities at the date of the financial statements. The Company bases its estimates and assumptions on historical experience, known or expected trends and various other assumptions that it believes to be reasonable. As future events and their effects cannot be determined with precision, actual results could differ significantly from these estimates, which may cause the Company’s future results to be significantly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maintains an allowance for credit losses on its accounts receivable balances, which represents its best estimate of current expected credit losses over the contractual life of the accounts receivable. When evaluating the adequacy of its allowance for credit losses each reporting period, the Company analyzes accounts receivable balances with similar risk characteristics on a collective basis, considering factors such as the aging of receivable balances, payment terms (primarily with 30 day terms), geographic location, historical loss experience, current information and future expectations (generally considered one year which is consistent with expected collectability of the Company's trade receivables).</w:t>
      </w:r>
    </w:p>
    <w:p>
      <w:pPr>
        <w:spacing w:after="0" w:line="21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monitors and considers whether historical loss rates are consistent with expectation of supportable forward-looking estimates for its trade receivables noting any current or future economic considerations that would require adjusting the Company’s historical loss experience. Each reporting period, the Company reassesses whether any accounts receivable no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longer share similar risk characteristics and should instead be evaluated as part of another pool or on an individual basis. Changes to the allowance for credit losses are adjusted through credit loss expense, which is presented within Selling, general and administrative expenses in the Consolidated Statements of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years ended December 31, 2024 and 2023, no customer represented 10% or more of the Company's revenue.</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as determined by using the first-in, first-out method, or market. Work in process and finished goods inventory include material, direct labor, variable costs and overhead.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and Internal-Use Software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Goodwill represents the excess purchase price of acquired businesses over the fair values attributed to underlying net tangible assets and identifiable intangible assets. The Company tests goodwill for impairment at a “reporting unit” level (which for the Company is represented by (i) its North America segment, (ii) its Products and Systems segment, (iii) the European component of its International segment and (iv) the Brazilian component of its International segment). The Company's annual impairment test is conducted on the first day of the Company's fourth quarter, which is October 1. Goodwill is also tested for impairment whenever an event occurs or circumstances change that would more likely than not reduce the fair value of a reporting unit below its carrying amount.</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testing for goodwill impairment, the Company has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the Company concludes that it is not more likely than not that the fair value of a reporting unit is less than its carrying amount, then performing a quantitative impairment test is not necessary. If the Company concludes otherwise, the Company is required to perform a quantitative impairment test.</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fair value of a reporting unit is less than its carrying value, this is an indicator that the goodwill assigned to that reporting unit may be impaired. An impairment will be recorded in the amount that the fair value is less than the carrying value. The Company considers the income and market approaches to estimate the fair value of its reporting units, which requires significant judgment and assumptions related to revenue growth rates, gross margins, EBIT margins, and market multiples.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for additional information related to the Company's goodwill impairment test during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(or asset groups) whenever events or changes in circumstances indicate that the carrying amount of the long-lived asset (group) might not be recoverable. The assessment for potential</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allocates the purchase price of acquired businesses to their identifiable tangible assets and liabilities as well as identifiable intangible assets, such as customer relationships, technology, non-compete agreements and trade names.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ASC No.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xml:space="preserve"> Deferred taxes are recorded for any differences between the assigned values and tax bases of assets and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Engineering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product development costs are expensed as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Promotions and Marketing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for advertising, promotion and marketing programs are expensed as incurred and are included in selling, general and administrative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 was approximately $1.0 million, $1.4 million and $2.0 million for the years ended December 31, 2024, 2023 and 2022,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other financial current assets and liabilities approximate fair value based on the short-term nature of the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financial position and results of operations of the Company’s foreign subsidiaries are measured using their functional currencies, which are their local currencies.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income (loss) for the period and included in accumulated other comprehensive income (loss) within stockholders’ equity.</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Foreign currency (gains) losses arising from transactions denominated in currencies other than the functional currency are included in net income, reported in selling, general and administrative expenses, and were approximately $(1.8) million, $1.3 million, and $(0.2) million for the years ended December 31, 2024,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self-insured for certain losses relating to workers’ compensation and health benefit claims. The Company maintains third-party excess insurance coverage for all workers' compensation and health benefit claims in excess of approximately $0.3 million per occurrence to reduce its exposure from such claims. Self-insured losses are accrued when it is probable that an uninsured claim has been incurred but not reported and the amount of the loss can be reasonably estimated at the balance sheet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value of services received from employees and directors in exchange for an award of an equity instrument is measured based on the grant-date fair value of the award. Such value is recognized as a non-cash expense on a straight-line basis over the minimum period the individual provides services, which is typically the vesting period of the award with the exception of awards with graded vesting that contain an internal performance measure where each tranche is recognized on a straight-line basis over its vesting period subject to the probability of meeting the performance requirements and adjusted for the number of shares expected to be earned. Awards to certain employees eligible for retirement prior to the award becoming fully vested are amortized to expense over the period through the date that the employee first becomes eligible to retire and is no longer required to provide service to earn the award. As share-based compensation expense is based on awards ultimately expected to</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vest, the amount of expense is reduced for estimated forfeitures. The cost of these awards is recorded in selling, general and administrative expenses in the Company’s Consolidated Statements of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1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to expand the disclosures about a public entity's reportable segments and address requests from investors for additional, more detailed information about a reportable segment's expenses. The new standard is effective for fiscal years beginning after December 15, 2023, and interim periods within fiscal years beginning after December 15, 2024. We adopted the provisions of this ASU in the fourth quarter of 2024 and applied the provisions retrospectively to each period presented in the consolidated financial statements. Adoption of the new standard did not have a material impact on our consolidated financial statements.</w:t>
      </w:r>
    </w:p>
    <w:p>
      <w:pPr>
        <w:spacing w:after="0" w:line="21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to enhance the transparency and decision usefulness of income tax disclosures, primarily related to the rate reconciliation and income taxes paid disclosures. The new standard is effective for fiscal years beginning after December 15, 2024. We do not expect the impact of ASU 2023-09 to be material on our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jc w:val="both"/>
        <w:ind w:right="2480"/>
        <w:spacing w:after="0" w:line="312" w:lineRule="auto"/>
        <w:rPr>
          <w:sz w:val="20"/>
          <w:szCs w:val="20"/>
          <w:color w:val="auto"/>
        </w:rPr>
      </w:pPr>
      <w:r>
        <w:rPr>
          <w:rFonts w:ascii="Times New Roman" w:cs="Times New Roman" w:eastAsia="Times New Roman" w:hAnsi="Times New Roman"/>
          <w:sz w:val="17"/>
          <w:szCs w:val="17"/>
          <w:color w:val="auto"/>
        </w:rPr>
        <w:t>The Company derives the majority of its revenue by providing services on a time and material basis that are short-term in nature. The Company accounts for revenue in accordance with ASC Topic 606, Revenue from Contracts with Customers.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an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418,923</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87,016</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71,665</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and Transmission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49,845</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33,161</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16,941</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593,527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135,969</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729,640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3"/>
                <w:szCs w:val="2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3"/>
                <w:szCs w:val="23"/>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2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3"/>
                <w:szCs w:val="23"/>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379,221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415,995</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76,997</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70,583</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and Transmission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33,974</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47,603</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29,108</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7"/>
              </w:rPr>
              <w:t>(11,257)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16,781</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124,414</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(11,257)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705,473</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7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60" w:type="dxa"/>
            <w:vAlign w:val="bottom"/>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940" w:type="dxa"/>
            <w:vAlign w:val="bottom"/>
            <w:gridSpan w:val="3"/>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$387,752</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80,552</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63,983</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Power Generation and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42,104</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54,827</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Infrastructure, Research &amp;</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27,223</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(11,115)</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0" w:type="dxa"/>
            <w:vAlign w:val="bottom"/>
          </w:tcPr>
          <w:p>
            <w:pPr>
              <w:spacing w:after="0"/>
              <w:rPr>
                <w:sz w:val="1"/>
                <w:szCs w:val="1"/>
                <w:color w:val="auto"/>
              </w:rPr>
            </w:pPr>
          </w:p>
        </w:tc>
      </w:tr>
      <w:tr>
        <w:trPr>
          <w:trHeight w:val="248"/>
        </w:trPr>
        <w:tc>
          <w:tcPr>
            <w:tcW w:w="2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573,336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(11,115)</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$687,373</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506,945</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90,013</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121,179</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11,503</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593,527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729,640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61"/>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2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2"/>
                <w:szCs w:val="22"/>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500,282</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86,939</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108,135</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705,473</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6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3"/>
                <w:szCs w:val="2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3"/>
                <w:szCs w:val="23"/>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2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3"/>
                <w:szCs w:val="23"/>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489,873</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89,254</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100,919</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573,336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687,373</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2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Revenue recognized for 2024 and 2023, that was included in the contract liability balance at the beginning of the year was $6.7 million and $6.3 million, respectively. Changes in the contract asset and liability balances during the years ended December 31, 2024 and 2023, were not impacted by any other factors. The Company applies the practical expedient to expense incremental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costs incurred related to obtaining a contract when the amortization period of the asset that the Company otherwise would have recognized is one year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outstanding during the period. Diluted earnings per share is computed by dividing net income (loss)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shares of common stock during the period and (ii) the pro forma vesting of restricted stock units.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(loss) per share (in thousands except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r>
      <w:tr>
        <w:trPr>
          <w:trHeight w:val="256"/>
        </w:trPr>
        <w:tc>
          <w:tcPr>
            <w:tcW w:w="7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29,901</w:t>
            </w: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Dilutive effect of stock options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Dilutive effect of restricted stock units outstanding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70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30,229</w:t>
            </w:r>
          </w:p>
        </w:tc>
      </w:tr>
      <w:tr>
        <w:trPr>
          <w:trHeight w:val="232"/>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0.21</w:t>
            </w:r>
          </w:p>
        </w:tc>
      </w:tr>
    </w:tbl>
    <w:p>
      <w:pPr>
        <w:spacing w:after="0" w:line="283"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8"/>
          <w:szCs w:val="18"/>
          <w:color w:val="auto"/>
        </w:rPr>
        <w:t>The following potential shares of common stock were excluded from the computation of diluted earnings per share, as the effect would have been anti-dilutive:</w:t>
      </w:r>
    </w:p>
    <w:p>
      <w:pPr>
        <w:ind w:left="80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9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2"/>
        </w:trPr>
        <w:tc>
          <w:tcPr>
            <w:tcW w:w="68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Potential shares of common stock attributable to restricted stock units (RSUs) and</w:t>
            </w:r>
          </w:p>
        </w:tc>
        <w:tc>
          <w:tcPr>
            <w:tcW w:w="9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243"/>
        </w:trPr>
        <w:tc>
          <w:tcPr>
            <w:tcW w:w="78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performance stock units (PSUs) outstanding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30"/>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Potential shares of common stock attributable to stock options outstanding</w:t>
            </w:r>
          </w:p>
        </w:tc>
        <w:tc>
          <w:tcPr>
            <w:tcW w:w="14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8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bl>
    <w:p>
      <w:pPr>
        <w:spacing w:after="0" w:line="306" w:lineRule="exact"/>
        <w:rPr>
          <w:sz w:val="20"/>
          <w:szCs w:val="20"/>
          <w:color w:val="auto"/>
        </w:rPr>
      </w:pPr>
    </w:p>
    <w:p>
      <w:pPr>
        <w:ind w:right="40" w:firstLine="53"/>
        <w:spacing w:after="0" w:line="287" w:lineRule="auto"/>
        <w:tabs>
          <w:tab w:leader="none" w:pos="21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the year ended December 31, 2023, 1,014,527 shares of common stock related to restricted stock and 250,000 stock options, were excluded from the calculation of diluted EPS due to the net loss for the period.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134,495</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had $21.3 million and $18.5 million of unbilled revenues accrued as of December 31, 2024 and December 31, 2023, respectively, which is included within the trade accounts receivable balance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Consumable supplies</w:t>
            </w: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8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26,663</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274,907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269,306</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319,756</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(238,784)</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$25.3 million, $25.6 million, and $24.1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expense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recorded as acquisition-related expense, net, on the Consolidated Statements of Income (Loss) and were as follows for the years ended December 31, 2024, 2023 and 2022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23"/>
        </w:trPr>
        <w:tc>
          <w:tcPr>
            <w:tcW w:w="6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8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diligence, professional fees and other transaction costs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fair value of contingent consideration liabilities</w:t>
            </w:r>
          </w:p>
        </w:tc>
        <w:tc>
          <w:tcPr>
            <w:tcW w:w="9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8"/>
        </w:trPr>
        <w:tc>
          <w:tcPr>
            <w:tcW w:w="6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is shown below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CCEEFF"/>
          </w:tcPr>
          <w:p>
            <w:pPr>
              <w:jc w:val="center"/>
              <w:ind w:right="281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199,635</w:t>
            </w: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r>
      <w:tr>
        <w:trPr>
          <w:trHeight w:val="229"/>
        </w:trPr>
        <w:tc>
          <w:tcPr>
            <w:tcW w:w="5160" w:type="dxa"/>
            <w:vAlign w:val="bottom"/>
            <w:shd w:val="clear" w:color="auto" w:fill="CCEEFF"/>
          </w:tcPr>
          <w:p>
            <w:pPr>
              <w:jc w:val="center"/>
              <w:ind w:right="2750"/>
              <w:spacing w:after="0"/>
              <w:rPr>
                <w:sz w:val="20"/>
                <w:szCs w:val="20"/>
                <w:color w:val="auto"/>
              </w:rPr>
            </w:pPr>
            <w:r>
              <w:rPr>
                <w:rFonts w:ascii="Times New Roman" w:cs="Times New Roman" w:eastAsia="Times New Roman" w:hAnsi="Times New Roman"/>
                <w:sz w:val="18"/>
                <w:szCs w:val="18"/>
                <w:color w:val="auto"/>
                <w:w w:val="99"/>
              </w:rPr>
              <w:t>Foreign currency translation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196"/>
        </w:trPr>
        <w:tc>
          <w:tcPr>
            <w:tcW w:w="5160" w:type="dxa"/>
            <w:vAlign w:val="bottom"/>
          </w:tcPr>
          <w:p>
            <w:pPr>
              <w:jc w:val="center"/>
              <w:ind w:right="2810"/>
              <w:spacing w:after="0" w:line="196"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187,354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35"/>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ind w:left="5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187,354</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jc w:val="center"/>
              <w:ind w:right="2750"/>
              <w:spacing w:after="0"/>
              <w:rPr>
                <w:sz w:val="20"/>
                <w:szCs w:val="20"/>
                <w:color w:val="auto"/>
              </w:rPr>
            </w:pPr>
            <w:r>
              <w:rPr>
                <w:rFonts w:ascii="Times New Roman" w:cs="Times New Roman" w:eastAsia="Times New Roman" w:hAnsi="Times New Roman"/>
                <w:sz w:val="18"/>
                <w:szCs w:val="18"/>
                <w:color w:val="auto"/>
                <w:w w:val="99"/>
              </w:rPr>
              <w:t>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r>
      <w:tr>
        <w:trPr>
          <w:trHeight w:val="223"/>
        </w:trPr>
        <w:tc>
          <w:tcPr>
            <w:tcW w:w="5160" w:type="dxa"/>
            <w:vAlign w:val="bottom"/>
          </w:tcPr>
          <w:p>
            <w:pPr>
              <w:jc w:val="center"/>
              <w:ind w:right="281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181,442</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a triggering event was identified within the Company's reporting units within the International segment due to decreased gross margin in the current period as a result of inflationary pressures and rising energy costs impacting the International reporting units' operations. As a result, the Company performed an interim quantitative goodwill impairment test.</w:t>
      </w:r>
    </w:p>
    <w:p>
      <w:pPr>
        <w:spacing w:after="0" w:line="20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0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using a terminal value calculation, which incorporates historical and forecasted trends, including an estimate of long-term future growth rates, based on the Company’s most recent views of the long-term outlook for each reporting unit. The Company's internal forecasts include assumptions about future profitability,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Company's internally developed forecasts and which are updated for recent events. Increased interest rates in the current period increased the discount rate associated with the reporting units which contributed to an unfavorable decrease in the reporting units value.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market approach valuation was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Based upon the results of the interim quantitative goodwill impairment test, the Company recorded an impairment charge of $13.8 million within the International reporting units. The impairment was calculated based on the difference between the estimated fair value and the carrying value of the reporting units and is included in Goodwill impairment charges on the condensed consolidated statements of income (loss) for the year ended December 31, 2023. Any significant adverse changes in future periods to the Company’s internal forecasts or the external market conditions, if any, could reasonably be expected to negatively affect its key assumptions and may result in future goodwill impairment charges which could be material.</w:t>
      </w:r>
    </w:p>
    <w:p>
      <w:pPr>
        <w:spacing w:after="0" w:line="21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cumulative goodwill impairment as of December 31, 2024 was $114.0 million, of which $57.2 million related to the North America segment, $43.6 million related to the International segment and $13.2 million related to the Products and Systems segment.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intangible assets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960" w:type="dxa"/>
            <w:vAlign w:val="bottom"/>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11"/>
                <w:szCs w:val="11"/>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9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00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0" w:type="dxa"/>
            <w:vAlign w:val="bottom"/>
          </w:tcPr>
          <w:p>
            <w:pPr>
              <w:spacing w:after="0"/>
              <w:rPr>
                <w:sz w:val="1"/>
                <w:szCs w:val="1"/>
                <w:color w:val="auto"/>
              </w:rPr>
            </w:pP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Software/Technology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48"/>
        </w:trPr>
        <w:tc>
          <w:tcPr>
            <w:tcW w:w="1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2024, 2023 and 2022, was approximately $7.6 million, $8.5 million, and $9.1 million, respectively, including amortization of software/technology for these periods of $2.9 million, $2.9 million, and $2.9 million, respectively.</w:t>
      </w:r>
    </w:p>
    <w:p>
      <w:pPr>
        <w:spacing w:after="0" w:line="18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Amortization expense in each of the five years and thereafter subsequent to December 31, 2024 related to the Company’s intangible assets is expected to be as follows (in thousands):</w:t>
      </w:r>
    </w:p>
    <w:tbl>
      <w:tblPr>
        <w:tblLayout w:type="fixed"/>
        <w:tblInd w:w="0" w:type="dxa"/>
        <w:tblCellMar>
          <w:top w:w="0" w:type="dxa"/>
          <w:left w:w="0" w:type="dxa"/>
          <w:bottom w:w="0" w:type="dxa"/>
          <w:right w:w="0" w:type="dxa"/>
        </w:tblCellMar>
      </w:tblPr>
      <w:tr>
        <w:trPr>
          <w:trHeight w:val="147"/>
        </w:trPr>
        <w:tc>
          <w:tcPr>
            <w:tcW w:w="9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15"/>
              <w:spacing w:after="0" w:line="147" w:lineRule="exact"/>
              <w:rPr>
                <w:sz w:val="20"/>
                <w:szCs w:val="20"/>
                <w:color w:val="auto"/>
              </w:rPr>
            </w:pPr>
            <w:r>
              <w:rPr>
                <w:rFonts w:ascii="Times New Roman" w:cs="Times New Roman" w:eastAsia="Times New Roman" w:hAnsi="Times New Roman"/>
                <w:sz w:val="14"/>
                <w:szCs w:val="14"/>
                <w:b w:val="1"/>
                <w:bCs w:val="1"/>
                <w:color w:val="auto"/>
              </w:rPr>
              <w:t>Expected</w:t>
            </w:r>
          </w:p>
        </w:tc>
      </w:tr>
      <w:tr>
        <w:trPr>
          <w:trHeight w:val="137"/>
        </w:trPr>
        <w:tc>
          <w:tcPr>
            <w:tcW w:w="9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35"/>
              <w:spacing w:after="0" w:line="137" w:lineRule="exact"/>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0"/>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w:t>
            </w:r>
          </w:p>
        </w:tc>
      </w:tr>
      <w:tr>
        <w:trPr>
          <w:trHeight w:val="248"/>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net of unamortized debt issuance costs of 0.3 million and $0.4 million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158,056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181,499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August 1, 2022, the Company entered into a credit agreement (the “Credit Agreement”) which provides the Company with a $190 million, 5-year committed revolving credit facility and a $125 million term loan with a balance of $107.5 million as of December 31, 2024. The Credit Agreement permits the Company to borrow up to $100 million in non-US dollar currencies and to use up to $20 million of the credit limit for the issuance of letters of credit. Both the revolving line of credit and the term loan under the Credit Agreement have a maturity date of July 30, 2027.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has the following key terms, conditions and financial covenants:</w:t>
      </w:r>
    </w:p>
    <w:p>
      <w:pPr>
        <w:spacing w:after="0" w:line="252" w:lineRule="exact"/>
        <w:rPr>
          <w:sz w:val="20"/>
          <w:szCs w:val="20"/>
          <w:color w:val="auto"/>
        </w:rPr>
      </w:pPr>
    </w:p>
    <w:p>
      <w:pPr>
        <w:ind w:left="660" w:right="320" w:hanging="328"/>
        <w:spacing w:after="0" w:line="25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bear interest at Secured Overnight Financing Rate ("SOFR") plus a credit spread adjustment and applicable SOFR margin ranging from 1.25% to 2.75%, based upon our Total Consolidated Debt Leverage Ratio (defined below); under the Credit Agreement, the margin was based upon the LIBOR margin.</w:t>
      </w:r>
    </w:p>
    <w:p>
      <w:pPr>
        <w:spacing w:after="0" w:line="1" w:lineRule="exact"/>
        <w:rPr>
          <w:rFonts w:ascii="Times New Roman" w:cs="Times New Roman" w:eastAsia="Times New Roman" w:hAnsi="Times New Roman"/>
          <w:sz w:val="18"/>
          <w:szCs w:val="18"/>
          <w:color w:val="auto"/>
        </w:rPr>
      </w:pPr>
    </w:p>
    <w:p>
      <w:pPr>
        <w:ind w:left="1300" w:right="700" w:hanging="320"/>
        <w:spacing w:after="0" w:line="250"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fiscal quarters.</w:t>
      </w: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w:t>
      </w:r>
    </w:p>
    <w:p>
      <w:pPr>
        <w:spacing w:after="0" w:line="23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of the assets of the Company and certain of its U.S subsidiaries and is guaranteed by those U.S subsidiaries.</w:t>
      </w:r>
    </w:p>
    <w:p>
      <w:pPr>
        <w:spacing w:after="0" w:line="20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Total Consolidated Debt Leverage Ratio of no more than 4.0 to 1.0 at the end of each quarter through June 30, 2023 and stepping down to a maximum permitted ratio of no more than 3.75 to 1.0 for the remainder of the term.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340" w:hanging="328"/>
        <w:spacing w:after="0" w:line="282"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is required to maintain a Fixed Charge Coverage Ratio of 1.25 to 1.0 for the duration of the Credit Agreement, as defined in the Credit Agreement.</w:t>
      </w:r>
    </w:p>
    <w:p>
      <w:pPr>
        <w:spacing w:after="0" w:line="188" w:lineRule="exact"/>
        <w:rPr>
          <w:rFonts w:ascii="Times New Roman" w:cs="Times New Roman" w:eastAsia="Times New Roman" w:hAnsi="Times New Roman"/>
          <w:sz w:val="18"/>
          <w:szCs w:val="18"/>
          <w:i w:val="1"/>
          <w:iCs w:val="1"/>
          <w:color w:val="auto"/>
        </w:rPr>
      </w:pPr>
    </w:p>
    <w:p>
      <w:pPr>
        <w:jc w:val="both"/>
        <w:ind w:left="660" w:right="34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202"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06"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borrowings of $167.2 million and a total of $3.1 million of letters of credit outstanding under the Credit Agreement. The Company has capitalized costs associated with debt modifications of $0.8 million as of December 31, 2024, which is included in Other assets on the Consolidated Balance Sheet and will be amortized into interest expense over the remaining term of the Credit Agreement through July 30, 2027.</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was in compliance with the terms of the Credit Agreement. The Company continuously monitors compliance with the covenants contained in the Credit Agreement. The Company believes that it is probable that the Company will be able to comply with the financial covenants in the Credit Agreement and that sufficient credit remains available under the Credit Agreement to meet the Company's liquidity needs. However, such matters cannot be predicted with certainty.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bank financing provided at the local subsidiary level used to support working capital requirements and fund capital expenditures. At December 31, 2024, there was an aggregate of approximately $2.5 million outstanding, payable at various times through 2030. Monthly payments range from $1 thousand to $15 thousand, and interest rates range from 0.4% to 3.5%.</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Scheduled principal payments due under all borrowing agreements in each of the five years and thereafter subsequent to December 31, 2024 are as follows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13,062</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144,211</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8"/>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performs fair value measurements in accordance with the guidance provided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to sell an asset or paid to transfer a liability in an orderly transaction between market participants at the measurement date. It also establishes a three-level hierarchy that prioritizes the inputs used to measure fair value. The three levels of the hierarchy are defined as follows:</w:t>
      </w:r>
    </w:p>
    <w:p>
      <w:pPr>
        <w:spacing w:after="0" w:line="18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Company has the ability to access at the measurement date.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about inputs that market participants would use in pricing the asset or liability based on the best information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the fair value of Level 3 contingent consideration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29"/>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94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30"/>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liability</w:t>
            </w:r>
          </w:p>
        </w:tc>
        <w:tc>
          <w:tcPr>
            <w:tcW w:w="94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Revaluation</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56"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grants share-based incentive awards to its eligible employees and non-employee directors under its 2016 Long-Term Incentive Plan (the "2016 Plan"). Awards granted under the 2016 Plan may be in the form of stock options, restricted stock units and other forms of share-based incentives, including performance-based restricted stock units, stock appreciation rights and deferred stock rights. At the annual shareholders meeting on May 14, 2024, the Company’s shareholders approved an amendment to the 2016 Plan, including an increase to the total number of shares that may be issued under the 2016 Plan by 1.3 million, for a total of 6.2 million shares that are authorized for issuance under the 2016 Plan, of which approximately 1,850,000 shares were available for future grants as of as of December 31, 2024.</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October 11, 2023, Mr. Stamatakis was granted an award of stock options to purchase 250,000 shares of common stock of the Company, with an exercise price of $5.36, the closing price of the Company's common stock as quoted on the New York Stock Exchange on the grant date (the "Options"). The Options were granted as an inducement for Mr. Stamatakis to accept the position of Interim President and CEO of the Company and were therefore granted outside the 2016 Plan, as permitted by the rules of the NYSE. The Options can be exercised any time after the grant date until its expiration date, which is the earlier of 10 years from the grant date or one year following the date Mr. Stamatakis is no longer serving as an officer, director or in any other capacity of the Company. The Company recognized all share-based compensation expense related to the stock options granted in the fourth quarter of 2023 when they were granted, and no further unrecognized share-based compensation expense remains as of the end of the current period.</w:t>
      </w:r>
    </w:p>
    <w:p>
      <w:pPr>
        <w:spacing w:after="0" w:line="21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For the year ended 2022, the Company did not recognize any share-based compensation expense related to stock option awards, as the one outstanding stock option award was already fully vested and expired during the year ended 2022. No unrecognized compensation costs remained related to the stock option awards. In addition, there were no stock options exercised during the years ended December 31, 2024, 2023 and 2022.</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stock option activity, weighted-average exercise prices and options outstanding as of December 31, 2024, 2023 and 2022 as follows (in thousands, except per share amounts and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17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6"/>
                <w:szCs w:val="16"/>
                <w:color w:val="auto"/>
              </w:rPr>
            </w:pPr>
          </w:p>
        </w:tc>
        <w:tc>
          <w:tcPr>
            <w:tcW w:w="18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146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2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1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98"/>
        </w:trPr>
        <w:tc>
          <w:tcPr>
            <w:tcW w:w="250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7"/>
                <w:szCs w:val="17"/>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8"/>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29"/>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Issuances to Non-Employee Directors</w:t>
      </w:r>
    </w:p>
    <w:p>
      <w:pPr>
        <w:spacing w:after="0" w:line="24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As part of its compensation program for non-employee directors, the Company makes semi-annual issuances of fully-vested common stock to its non-employee directors. A summary of the fully-vested common stock the Company issued to its non-employee directors, in connection with its non-employee director compensation, is as follows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2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Restricted Stock Units generally vest ratably on each of the first four anniversary dates of issuance. The Company recognized approximately $4.1 million, $4.9 million and $3.7 million of share-based compensation for the years ended December 31, 2024, 2023 and 2022, respectively, related to restricted stock unit awards. As of December 31, 2024, there was approximately $7.5 million of unrecognized compensation costs, net of estimated forfeitures, related to restricted stock unit awards, which are expected to be recognized over a remaining weighted average period of 2.2 years. Upon vesting, restricted stock units are generally net share-settled to cover the required minimum withholding tax and the remaining amount is converted into an equivalent number of shares of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Grand date fair value of awards issued</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share units is as follows (in thousands, except per share amounts and years):</w:t>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3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36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5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Outstanding at beginning of</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30"/>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whose ultimate payouts may vary between zero and 200% of the target award, based on the Company’s performance over a one-year period based on specific metrics approved by the Compensation Committee of the Board of Directors of the Company (the "Compensation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2022, the Compensation Committee utilized the following three performance metrics for PRSUs approved in that year. The three metrics were:</w:t>
      </w:r>
    </w:p>
    <w:p>
      <w:pPr>
        <w:spacing w:after="0" w:line="27" w:lineRule="exact"/>
        <w:rPr>
          <w:sz w:val="20"/>
          <w:szCs w:val="20"/>
          <w:color w:val="auto"/>
        </w:rPr>
      </w:pP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defined as net cash provided by operating activities less purchases of property, plant, equipment and intangible assets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adjustments approved by the Compensation Committee.</w:t>
      </w:r>
    </w:p>
    <w:p>
      <w:pPr>
        <w:jc w:val="both"/>
        <w:ind w:left="660" w:hanging="328"/>
        <w:spacing w:after="0" w:line="250"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Shareholder Return ("TSR") </w:t>
      </w:r>
      <w:r>
        <w:rPr>
          <w:rFonts w:ascii="Times New Roman" w:cs="Times New Roman" w:eastAsia="Times New Roman" w:hAnsi="Times New Roman"/>
          <w:sz w:val="18"/>
          <w:szCs w:val="18"/>
          <w:color w:val="auto"/>
        </w:rPr>
        <w:t>measures the total return to shareholders of the Company during the 1-year performance period versus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 to the shareholders of 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preceding the performance period), compared to the average share price during the 20-trading day period ending on the final measurement date (the last 20 trading days of the performance period). Any cash dividends or distributions paid in 2022 were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spacing w:after="0" w:line="3"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Expected volatility of the Company’s common stock at the date of grant was estimated based on a historical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rate for the approximate 1-year performance period.</w:t>
      </w: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 The dividend yield assumption was based on historical and anticipated dividend payouts (assumed at zero).</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assumption was based on observed interest rates consistent with the approximate 1-year performance measurement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2023, the Compensation Committee used the following three performance metrics for PRSUs approved in that year.</w:t>
      </w:r>
    </w:p>
    <w:p>
      <w:pPr>
        <w:spacing w:after="0" w:line="250" w:lineRule="exact"/>
        <w:rPr>
          <w:sz w:val="20"/>
          <w:szCs w:val="20"/>
          <w:color w:val="auto"/>
        </w:rPr>
      </w:pPr>
    </w:p>
    <w:p>
      <w:pPr>
        <w:ind w:left="660" w:hanging="328"/>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defined as net cash provided by operating activities less purchases of property, plant, equipment and intangible assets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adjustments approved by the Compensation Committee.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left="660" w:hanging="328"/>
        <w:spacing w:after="0" w:line="258" w:lineRule="auto"/>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PRSUs awarded in 2024, the Compensation Committee utilized the same metrics as 2023 PRSUs, but with revised performance goals.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Compensation cost related to the PRSUs with a market condition is not reversed if the market condition is not achieved, provided the employee requisite service has been rendered. Earned PRSUs generally vest ratably in four equal annual installments over the four years following completion of the performance period, for a total requisite service period of up to five years, and have no dividend equivalent rights.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presented as follows (in thousands, except per share amounts and years):</w:t>
      </w:r>
    </w:p>
    <w:p>
      <w:pPr>
        <w:spacing w:after="0" w:line="4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2680" w:type="dxa"/>
            <w:vAlign w:val="bottom"/>
          </w:tcPr>
          <w:p>
            <w:pPr>
              <w:spacing w:after="0"/>
              <w:rPr>
                <w:sz w:val="11"/>
                <w:szCs w:val="11"/>
                <w:color w:val="auto"/>
              </w:rPr>
            </w:pPr>
          </w:p>
        </w:tc>
        <w:tc>
          <w:tcPr>
            <w:tcW w:w="8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3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3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26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176"/>
        </w:trPr>
        <w:tc>
          <w:tcPr>
            <w:tcW w:w="35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Performance condition</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net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295,000 PRSUs were granted. There was a 201,000 net unit reduction to these awards, which represents the Company's achievement of the threshold level of the Adjusted EBITDA target and not achieving the revenue or FCF performance goals, during the year ended December 31, 2024.</w:t>
      </w:r>
    </w:p>
    <w:p>
      <w:pPr>
        <w:spacing w:after="0" w:line="20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282,000 PRSUs were granted. There was a 305,000 net unit reduction to these awards, which reflects the Company's performance against specified goals, during the year ended December 31, 2023.</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341,000 PRSUs were granted. There was a 285,000 unit reduction to these awards, which reflects the Company's performance against specified goals, during the year ended December 31, 2022.</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Compensation expense related to all PRSUs described above was $0.4 million, $0.7 million, and $1.2 million for the years ended December 31, 2024, 2023 and 2022, respectively. At December 31, 2024, there was $0.6 million of total unrecognized compensation costs related to approximately 125,000 unvested performance restricted stock units. These costs are expected to be recognized over a weighted-average period of approximately 2.3 years.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income tax benefit recognized on all share based compensation arrangements referenced above was approximately $1.6 million, $0.8 million, and $1.6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 is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(benefit) for income taxes from:</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0" w:type="dxa"/>
            <w:vAlign w:val="bottom"/>
          </w:tcPr>
          <w:p>
            <w:pPr>
              <w:spacing w:after="0"/>
              <w:rPr>
                <w:sz w:val="1"/>
                <w:szCs w:val="1"/>
                <w:color w:val="auto"/>
              </w:rPr>
            </w:pPr>
          </w:p>
        </w:tc>
      </w:tr>
      <w:tr>
        <w:trPr>
          <w:trHeight w:val="21"/>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 (in thousands):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States and local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States and local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benefit</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deferred benefit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48"/>
        </w:trPr>
        <w:tc>
          <w:tcPr>
            <w:tcW w:w="6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0"/>
        <w:spacing w:after="0" w:line="270" w:lineRule="auto"/>
        <w:rPr>
          <w:sz w:val="20"/>
          <w:szCs w:val="20"/>
          <w:color w:val="auto"/>
        </w:rPr>
      </w:pPr>
      <w:r>
        <w:rPr>
          <w:rFonts w:ascii="Times New Roman" w:cs="Times New Roman" w:eastAsia="Times New Roman" w:hAnsi="Times New Roman"/>
          <w:sz w:val="18"/>
          <w:szCs w:val="18"/>
          <w:color w:val="auto"/>
        </w:rPr>
        <w:t>The provision (benefit) for income taxes differs from the amount computed by applying the statutory federal tax rate to income tax as follows (in thousands):</w:t>
      </w:r>
    </w:p>
    <w:tbl>
      <w:tblPr>
        <w:tblLayout w:type="fixed"/>
        <w:tblInd w:w="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3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taxation of foreign earnings</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&amp; Development Credit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tax rate changes</w:t>
            </w:r>
          </w:p>
        </w:tc>
        <w:tc>
          <w:tcPr>
            <w:tcW w:w="4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29.3 %</w:t>
            </w:r>
          </w:p>
        </w:tc>
      </w:tr>
      <w:tr>
        <w:trPr>
          <w:trHeight w:val="20"/>
        </w:trPr>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permanent differences identified above include normal recurring differences, such as meals, entertainment, and parking fringe benefits as well as a portion of the goodwill impairment charge.</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June 28, 2019, the Canadian province of Alberta enacted the Job Creation Tax Cut which reduced the Alberta corporate income tax rate from 12% to 11% starting in 2019 with further annual reductions to 10% in 2020, 9% in 2021, and 8% in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27, 2020, the United States enacted the Coronavirus Aid, Relief, and Economic Security Act (CARES Act). The CARES Act is an approximately $2 trillion emergency economic stimulus package in response to the Coronavirus outbreak, which among other things contains numerous income tax provisions. Some of these tax provisions are effective retroactively for years ending before the date of enactment. The CARES Act provides a five-year carryback of net operating losses generated in years 2018 through 2020. As the statutory federal income tax rate applicable to certain years within the carryback period is 35%, carryback to those years of our estimated 2020 annual federal tax loss provides a tax benefit in excess of the current federal statutory rate of 21%, resulting in an increased income tax benefit of $1.9 million. The income tax effects of the CARES Act resulted in a cash refund of approximately $4.9 million in 2021 of taxes paid in prior years.</w:t>
      </w:r>
    </w:p>
    <w:p>
      <w:pPr>
        <w:spacing w:after="0" w:line="2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The Appropriations Act did not have a material impact on our </w:t>
      </w:r>
      <w:r>
        <w:rPr>
          <w:rFonts w:ascii="Times New Roman" w:cs="Times New Roman" w:eastAsia="Times New Roman" w:hAnsi="Times New Roman"/>
          <w:sz w:val="18"/>
          <w:szCs w:val="18"/>
          <w:color w:val="080808"/>
        </w:rPr>
        <w:t>consolidated financial position, results of operations, and cash flows</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the American Rescue Plan Act was signed into law on March 11, 2021. This act, among other things, provides economic relief provisions to individuals and funding to certain businesses and programs. This guidance did not have a material impact on our consolidated financial position, results of operations, and cash flows.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August 2022 the United States enacted the Inflation Reduction Act (“IRA”) of 2022 (Public Law No. 117-169), which includes a 15% book minimum tax on corporations with financial accounting profits over 1 billion US dollars (USD) and a 1% excise tax on certain stock buybacks. The IRA also contains numerous clean energy tax incentives related to electricity production, carbon sequestration, alternative vehicles and fuels, and residential and commercial energy efficiency. The Company does not expect this act to have a material impact.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Deferred income tax attributes resulting from differences between financial accounting amounts and income tax basis of assets and liabilities are as follows (in thousands):</w:t>
      </w: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stock based compensation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carryforward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liability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Expense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8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no federal net operating loss carry forwards (NOLs). In addition, as of December 31, 2024, the Company had state and foreign NOLs of $23.8 million and $12.2 million, respectively. Approximately $11.8 million of state NOLs expire at various times from 2023 to 2042, while the remainder of the Company's state NOLs do not expire. Approximately $1.9 million of the foreign NOLs expire at various times from 2023 to 2041, while the remainder of the Company's foreign NOLs do not expire.</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assessing the ability to realize deferred tax assets, management considers whether it is more likely than not that some portion or all of the deferred tax assets will be realized. Valuation allowances are provided when management believes the Company's deferred tax assets are not recoverable based on future reversals of existing taxable temporary differences, taxable income in prior carryback year(s) if carryback is permitted under the tax law, and an assessment of estimated future taxable income, exclusive of reversing temporary differences and carryforwards, that incorporates on going, prudent and feasible tax planning strategies. At December 31, 2024 and December 31, 2023, the Company had a valuation allowance of approximately $4.0 million and $6.0 million, respectively, primarily against certain state and foreign NOLs and other specific deferred tax assets. The net decrease in the valuation allowance of approximately $2.0 million is primarily attributable to state and foreign net operating losses and changes in foreign exchange rates, offset by a reduction of expiring losses. Except for those deferred tax assets subject to the valuation allowance, management believes that it will realize all deferred tax assets as a result of sufficient future taxable income in each tax jurisdiction in which the Company has deferred tax assets. .</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gross unrecognized tax benefits, excluding interest and penalties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80" w:type="dxa"/>
            <w:vAlign w:val="bottom"/>
          </w:tcPr>
          <w:p>
            <w:pPr>
              <w:spacing w:after="0"/>
              <w:rPr>
                <w:sz w:val="16"/>
                <w:szCs w:val="16"/>
                <w:color w:val="auto"/>
              </w:rPr>
            </w:pPr>
          </w:p>
        </w:tc>
      </w:tr>
      <w:tr>
        <w:trPr>
          <w:trHeight w:val="23"/>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related to the current fiscal period</w:t>
            </w:r>
          </w:p>
        </w:tc>
        <w:tc>
          <w:tcPr>
            <w:tcW w:w="9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Reductions related to the expiration of statutes of limitations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recorded the unrecognized tax benefits in other long-term liabilities in the consolidated balance sheets. As of December 31, 2024 and December 31, 2023, there were approximately $0.3 million and $0.3 million of unrecognized tax benefits, respectively, including penalties and interest. If the Company recognized these unrecognized tax benefits, approximately $0.3 million and $0.3 million would favorably affect the effective tax rate for both December 31, 2024 and December 31, 2023, respectively. Interest and penalties related to unrecognized tax benefits are recorded in income tax expense and are not significant for the years ended December 31, 2024, 2023 and 2022. The Company anticipates a decrease to its unrecognized tax benefits of $0.1 million excluding interest and penalties within the next 12 months.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and foreign jurisdictions. The Company is no longer subject to U.S. federal income tax examinations for years ending before December 31, 2017 and generally is no longer subject to state, local or foreign income tax examinations by tax authorities for years ending before December 31, 2019. Currently the Company is undergoing a federal tax audit for years ending December 31, 2018 through December 31, 2020.</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previously noted, the Tax Act made significant changes to the taxation of undistributed earnings, requiring that all previously untaxed earnings and profits of the Company's controlled foreign operations be subjected to the transition tax. Since these earnings have now been subjected to U.S. federal tax, they would only be potentially subject to limited other taxes, including foreign withholding and certain state taxes. As of December 31, 2024, the Company has not recognized a deferred tax liability for foreign withholdings and state taxes on its undistributed international earnings or losses of its foreign subsidiaries since it intends to indefinitely reinvest the earnings outside the United States. The Company has estimated $74.4 million of unremitted international earnings which provides an unrecorded deferred tax liability related to undistributed international earnings of approximately $1.2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three months of continuous service. Under this plan, the Company matches 50% of the employee’s contributions up to 6% of the employee’s annual compensation, as defined by the plan. There is a five-year vesting schedule for the Company match.</w:t>
      </w:r>
    </w:p>
    <w:p>
      <w:pPr>
        <w:spacing w:after="0" w:line="20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Company’s contribution to the plan was $4.1 million, $3.9 million, and $3.0 million for the years ended December 31, 2024, 2023 and 2022, respectively.</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Company's subsidiary participated with other employers in contributing to the Boilermaker-Blacksmith National Pension Trust (EIN 48-6168020) (“Boilermakers”) and Plumbers and Pipefitters National Pension Fund (EIN 52-6152779) (“Pipefitters”), multi-employer defined benefit pension plans, which cover certain U.S. based union employees. The plans provide pension benefits with contribution rates that are collectively bargained between participating employers and their affiliated Boilermakers and Pipefitters local unions. Both the Boilermakers and Pipefitters plans are approximately 80 percent funded as of the latest Form 5500 filed, respectively. The Company did not make any contributions to the Boilermakers plan during the years ended December 31, 2024 and 2023 while making de minimis contributions to the Pipefitters plan during the same periods. See Note </w:t>
      </w:r>
      <w:r>
        <w:rPr>
          <w:rFonts w:ascii="Times New Roman" w:cs="Times New Roman" w:eastAsia="Times New Roman" w:hAnsi="Times New Roman"/>
          <w:sz w:val="18"/>
          <w:szCs w:val="18"/>
          <w:i w:val="1"/>
          <w:iCs w:val="1"/>
          <w:color w:val="auto"/>
        </w:rPr>
        <w:t>18-Commitments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Pension Related Contingencies, </w:t>
      </w:r>
      <w:r>
        <w:rPr>
          <w:rFonts w:ascii="Times New Roman" w:cs="Times New Roman" w:eastAsia="Times New Roman" w:hAnsi="Times New Roman"/>
          <w:sz w:val="18"/>
          <w:szCs w:val="18"/>
          <w:color w:val="auto"/>
        </w:rPr>
        <w:t>for additional detail.</w:t>
      </w:r>
    </w:p>
    <w:p>
      <w:pPr>
        <w:spacing w:after="0" w:line="21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has other benefit plans covering certain employees throughout the Company. Amounts charged to expense under these plans were not significant in any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Company leases its headquarters under an operating lease from a stockholder and director of the Company. On August 1, 2014, the Company extended its lease at its headquarters requiring monthly payments through October 2024. Total rent payments made during the year ended December 31, 2024 were approximately $1.0 million. See Note </w:t>
      </w:r>
      <w:r>
        <w:rPr>
          <w:rFonts w:ascii="Times New Roman" w:cs="Times New Roman" w:eastAsia="Times New Roman" w:hAnsi="Times New Roman"/>
          <w:sz w:val="18"/>
          <w:szCs w:val="18"/>
          <w:i w:val="1"/>
          <w:iCs w:val="1"/>
          <w:color w:val="auto"/>
        </w:rPr>
        <w:t>17-Leases</w:t>
      </w:r>
      <w:r>
        <w:rPr>
          <w:rFonts w:ascii="Times New Roman" w:cs="Times New Roman" w:eastAsia="Times New Roman" w:hAnsi="Times New Roman"/>
          <w:sz w:val="18"/>
          <w:szCs w:val="18"/>
          <w:color w:val="auto"/>
        </w:rPr>
        <w:t xml:space="preserve"> for further detail.</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receives benefits consulting services from Capital Management Enterprise (“CME”). Manuel N. Stamatakis, Executive Chairman of our Board of Directors, is the Chief Executive Officer of CME. The Company does not pay any fees to CME and any compensation CME receives related to work for the Company is received by commissions paid by the third-party benefit providers.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the Company's leases include one or more options to renew. When it is reasonably certain that the Company will exercise the option, the Company will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Balance Sheets include the following related to operating leases as of December 31, 2024 and 2023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ROU assets</w:t>
            </w:r>
          </w:p>
        </w:tc>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37,512</w:t>
            </w:r>
          </w:p>
        </w:tc>
      </w:tr>
      <w:tr>
        <w:trPr>
          <w:trHeight w:val="270"/>
        </w:trPr>
        <w:tc>
          <w:tcPr>
            <w:tcW w:w="3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ROU liability - current</w:t>
            </w: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w:t>
            </w:r>
          </w:p>
        </w:tc>
      </w:tr>
      <w:tr>
        <w:trPr>
          <w:trHeight w:val="230"/>
        </w:trPr>
        <w:tc>
          <w:tcPr>
            <w:tcW w:w="3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ROU liability - long-term</w:t>
            </w:r>
          </w:p>
        </w:tc>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w:t>
            </w: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ROU liabilities</w:t>
            </w:r>
          </w:p>
        </w:tc>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38,905</w:t>
            </w: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Included within the balance of operating leases is a lease for the Company’s headquarters which is with a related party. The ROU liability for this facility is approximately $1.8 million as of December 31, 2024 and $0.8 million as of December 31, 2023. Total rent payments for this facility were approximately $1.0 million and $1.0 million during the years ended December 31, 2024 and 2023. An agreement was reached with the related party to reduce rental payments by 12.5% for the lease of the Company’s headquarters, effective February 2022 as part of a voluntary reduction.</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total ROU assets attributable to finance leases are approximately $17.9 million and $14.5 million, respectively, which is included in Property, plant, and equipment, net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for the year ended December 31, 2024 and 2023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5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60" w:type="dxa"/>
            <w:vAlign w:val="bottom"/>
            <w:vMerge w:val="continue"/>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0" w:type="dxa"/>
            <w:vAlign w:val="bottom"/>
          </w:tcPr>
          <w:p>
            <w:pPr>
              <w:spacing w:after="0"/>
              <w:rPr>
                <w:sz w:val="1"/>
                <w:szCs w:val="1"/>
                <w:color w:val="auto"/>
              </w:rPr>
            </w:pPr>
          </w:p>
        </w:tc>
      </w:tr>
      <w:tr>
        <w:trPr>
          <w:trHeight w:val="229"/>
        </w:trPr>
        <w:tc>
          <w:tcPr>
            <w:tcW w:w="2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Selling, general &amp; administrative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 Selling, general &amp; administrative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Selling, general &amp;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leases as of December 31, 2024 and 2023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20" w:type="dxa"/>
            <w:vAlign w:val="bottom"/>
            <w:vMerge w:val="restart"/>
          </w:tcPr>
          <w:p>
            <w:pPr>
              <w:ind w:left="20"/>
              <w:spacing w:after="0" w:line="199"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finance and operating leases (in</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1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 financing cash flows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5,495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5,047</w:t>
            </w:r>
          </w:p>
        </w:tc>
        <w:tc>
          <w:tcPr>
            <w:tcW w:w="0" w:type="dxa"/>
            <w:vAlign w:val="bottom"/>
          </w:tcPr>
          <w:p>
            <w:pPr>
              <w:spacing w:after="0"/>
              <w:rPr>
                <w:sz w:val="1"/>
                <w:szCs w:val="1"/>
                <w:color w:val="auto"/>
              </w:rPr>
            </w:pPr>
          </w:p>
        </w:tc>
      </w:tr>
      <w:tr>
        <w:trPr>
          <w:trHeight w:val="229"/>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 operating cash flows</w:t>
            </w: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 operating cash flows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13,208</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the exchange for lease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34"/>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16,254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10,598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54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2024 is as follows (in thousands):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8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60" w:type="dxa"/>
            <w:vAlign w:val="bottom"/>
          </w:tcPr>
          <w:p>
            <w:pPr>
              <w:spacing w:after="0"/>
              <w:rPr>
                <w:sz w:val="17"/>
                <w:szCs w:val="17"/>
                <w:color w:val="auto"/>
              </w:rPr>
            </w:pPr>
          </w:p>
        </w:tc>
        <w:tc>
          <w:tcPr>
            <w:tcW w:w="11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23"/>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47,885</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While uncertainties exist with respect to the ultimate resolution of lawsuits, investigations and claims asserted against it, the Company, based on currently available information, does not believe that any currently pending or threatened legal proceeding to which the Company is a party, or is likely to become a party, including those proceedings identified in this Note 18,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and a subsidiary of the Company, Mistras Arizona Inspection Services LLC (“Mistras Arizona”), are subject to a lawsuit filed by the State of Arizona and the Arizona Department of Environmental Quality (collectively “DEQ”). The lawsuit, captioned State of Arizona v. Mistras Group, Inc., Mistras Arizona Inspection Services, LLC and Naiman Phoenix, Ltd., was originally filed on February 27, 2024, in the Superior Court of the State of Arizona for Maricopa County, CV 2024-003866 (the "DEQ Complaint"). The DEQ Complaint alleges various violations of Arizona environmental laws and regulations by the Company and Mistras Arizona in connection with the operation by Mistras Arizona of its testing facility in Phoenix, Arizona. The DEQ Complaint seeks, through injunctive relief, the closing of a chromic acid plating line at the testing facility, implementation of a site assessment plan approved by the DEQ, and corrective and remedial action to bring the testing facility into compliance with laws and regulations. In addition, the DEQ Complaint seeks unspecified penalties and costs.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Superior Court held a hearing September 2024 regarding the DEQ’s request for a preliminary injunction. On October 23, 2024, the Superior Court issued a ruling, which declined to issue the preliminary injunction requested by the DEQ, but imposed the following conditions on the Company and Mistras Arizona unless and until modified by the Superior Court or entry of a final judgement: (1) the Company and Mistras Arizona are prohibited from releasing or permitting any release of chromic acid from the facility; (2) within a reasonable time, the Company and Mistras Arizona must complete improvements to the testing facility designed to prevent future discharges of chromium or chromic acid; (3) the Company must notify the DEQ upon completion of the improvement to enable the DEQ to conduct an inspection; and (4) the Company and Mistras Arizona are prohibited from engaging in any chrome plating operations at the testing facility until they notify the DEQ that the improvements have been completed. The DEQ may seek relief if it determines that the improvements are not sufficient to prevent discharges.</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intends to comply with the Superior Court's ruling. This matter is still in the relatively early stages, including as to factual and expert discovery. It is probable that remediation costs, fines and penalties may be imposed related to this lawsuit. However, the Company is unable to estimate the range of loss that it may incur.</w:t>
      </w:r>
    </w:p>
    <w:p>
      <w:pPr>
        <w:spacing w:after="0" w:line="20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addition, Mistras Arizona’s operations in Phoenix are located at a leased site within the footprint of the Motorola 52nd Street Superfund Site (the “Motorola Site”). Mistras Arizona received a General Notice Letter from the US Environmental Protection Agency (the "EPA"), dated May 21, 2024, informing Mistras Arizona that the EPA has identified it as a potentially responsible party in relation to the Motorola 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Company’s subsidiaries had significant reductions in their unionized workers in 2018. The collective bargaining agreements for the employees</w:t>
      </w:r>
    </w:p>
    <w:p>
      <w:pPr>
        <w:spacing w:after="0" w:line="5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of this subsidiary required contributions for these employees to two national multi-employer pension funds. The reduction in employees resulted in one of the Company's subsidiaries incurring a complete withdrawal to one of the pension funds under the Employee Retirement Income Security Act of 1974</w:t>
      </w:r>
    </w:p>
    <w:p>
      <w:pPr>
        <w:spacing w:after="0" w:line="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("ERISA"), which was fully satisfied in 2019. The Company has determined that the subsidiary is likely to incur partial or complete withdrawal liability to the other pension fund. The balance of the estimated total amount of this potential liability as of December 31, 2024 is approximately $2.5 million, which was incurred in 2018 and 2019.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which are also the Company's reportable segments, are:</w:t>
      </w:r>
    </w:p>
    <w:p>
      <w:pPr>
        <w:spacing w:after="0" w:line="264" w:lineRule="exact"/>
        <w:rPr>
          <w:sz w:val="20"/>
          <w:szCs w:val="20"/>
          <w:color w:val="auto"/>
        </w:rPr>
      </w:pPr>
    </w:p>
    <w:p>
      <w:pPr>
        <w:ind w:left="660" w:right="320" w:hanging="328"/>
        <w:spacing w:after="0" w:line="236" w:lineRule="auto"/>
        <w:tabs>
          <w:tab w:leader="none" w:pos="655" w:val="left"/>
        </w:tabs>
        <w:numPr>
          <w:ilvl w:val="0"/>
          <w:numId w:val="23"/>
        </w:numPr>
        <w:rPr>
          <w:rFonts w:ascii="Arial" w:cs="Arial" w:eastAsia="Arial" w:hAnsi="Arial"/>
          <w:sz w:val="22"/>
          <w:szCs w:val="22"/>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87" w:lineRule="exact"/>
        <w:rPr>
          <w:sz w:val="20"/>
          <w:szCs w:val="20"/>
          <w:color w:val="auto"/>
        </w:rPr>
      </w:pPr>
    </w:p>
    <w:p>
      <w:pPr>
        <w:ind w:left="660" w:right="400" w:hanging="328"/>
        <w:spacing w:after="0" w:line="267"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200" w:lineRule="exact"/>
        <w:rPr>
          <w:rFonts w:ascii="Times New Roman" w:cs="Times New Roman" w:eastAsia="Times New Roman" w:hAnsi="Times New Roman"/>
          <w:sz w:val="18"/>
          <w:szCs w:val="18"/>
          <w:i w:val="1"/>
          <w:iCs w:val="1"/>
          <w:color w:val="auto"/>
        </w:rPr>
      </w:pPr>
    </w:p>
    <w:p>
      <w:pPr>
        <w:ind w:left="660" w:right="440" w:hanging="328"/>
        <w:spacing w:after="0" w:line="28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("CODM") reviews financial information at the operating segment level to allocate resources and to assess the operating results and financial performance for each operating segment. For the year ended December 31, 2024, our CODM was identified as Manny Stamatakis, the Interim Chief Executive Officer, because he has final authority over performance assessment and resource allocation decisions. Beginning January 1, 2025, our CODM was identified as Natalia Shuman, upon her appointment as our Chief Executive Officer effective January 1, 2025, as she has final authority over performance assessment and resource allocation decisions. Our segments are based on the type and concentration of customers served, service requirements, methods of distribution and major product lines.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Segment income (loss) from operations is the primary performance measure used by the CODM to evaluate segment performance and allocate resources, including considering budget-to-actual variances and prior year-to-actual variances on a monthly basis in accordance with GAAP under ASC 280, Segment Reporting. Segment income (loss) from operations for each of the Company's reportable segments are comprised of revenue, selling, general &amp; administrative expenses, and "other expenses." "Other expenses" include cost of revenue, bad debt provision for troubled customers, goodwill impairment charges, reorganization and environmental costs, legal settlements and recoveries, acquisition-related expenses, depreciation and amortization and research and engineering.</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 These items of our operating profit are managed centrally at the corporate level and are excluded from the measure of segment income reviewed by the CODM, as well as the measure of segment performance used for incentive compensation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accounting policies of the reportable segments are the same as those described in Note </w:t>
      </w:r>
      <w:r>
        <w:rPr>
          <w:rFonts w:ascii="Times New Roman" w:cs="Times New Roman" w:eastAsia="Times New Roman" w:hAnsi="Times New Roman"/>
          <w:sz w:val="18"/>
          <w:szCs w:val="18"/>
          <w:i w:val="1"/>
          <w:iCs w:val="1"/>
          <w:color w:val="auto"/>
        </w:rPr>
        <w:t>1-Summary of Significant Accounting Policies and Practices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Income (loss) from operations by operating segment includes intercompany transactions, which are eliminated in Corporate and eliminations</w:t>
      </w:r>
      <w:r>
        <w:rPr>
          <w:rFonts w:ascii="Times New Roman" w:cs="Times New Roman" w:eastAsia="Times New Roman" w:hAnsi="Times New Roman"/>
          <w:sz w:val="21"/>
          <w:szCs w:val="21"/>
          <w:color w:val="008080"/>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0" w:type="dxa"/>
            <w:vAlign w:val="bottom"/>
            <w:gridSpan w:val="4"/>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Products and</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shd w:val="clear" w:color="auto" w:fill="CCEEFF"/>
          </w:tcPr>
          <w:p>
            <w:pPr>
              <w:spacing w:after="0"/>
              <w:rPr>
                <w:sz w:val="15"/>
                <w:szCs w:val="15"/>
                <w:color w:val="auto"/>
              </w:rPr>
            </w:pPr>
          </w:p>
        </w:tc>
        <w:tc>
          <w:tcPr>
            <w:tcW w:w="1360" w:type="dxa"/>
            <w:vAlign w:val="bottom"/>
            <w:gridSpan w:val="3"/>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spacing w:after="0"/>
              <w:rPr>
                <w:sz w:val="16"/>
                <w:szCs w:val="16"/>
                <w:color w:val="auto"/>
              </w:rPr>
            </w:pPr>
          </w:p>
        </w:tc>
        <w:tc>
          <w:tcPr>
            <w:tcW w:w="1380" w:type="dxa"/>
            <w:vAlign w:val="bottom"/>
            <w:gridSpan w:val="4"/>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60" w:type="dxa"/>
            <w:vAlign w:val="bottom"/>
            <w:shd w:val="clear" w:color="auto" w:fill="CCEEFF"/>
          </w:tcPr>
          <w:p>
            <w:pPr>
              <w:spacing w:after="0"/>
              <w:rPr>
                <w:sz w:val="16"/>
                <w:szCs w:val="16"/>
                <w:color w:val="auto"/>
              </w:rPr>
            </w:pPr>
          </w:p>
        </w:tc>
        <w:tc>
          <w:tcPr>
            <w:tcW w:w="1400" w:type="dxa"/>
            <w:vAlign w:val="bottom"/>
            <w:gridSpan w:val="4"/>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20" w:type="dxa"/>
            <w:vAlign w:val="bottom"/>
            <w:shd w:val="clear" w:color="auto" w:fill="CCEEFF"/>
          </w:tcPr>
          <w:p>
            <w:pPr>
              <w:spacing w:after="0"/>
              <w:rPr>
                <w:sz w:val="16"/>
                <w:szCs w:val="16"/>
                <w:color w:val="auto"/>
              </w:rPr>
            </w:pPr>
          </w:p>
        </w:tc>
        <w:tc>
          <w:tcPr>
            <w:tcW w:w="1360" w:type="dxa"/>
            <w:vAlign w:val="bottom"/>
            <w:gridSpan w:val="3"/>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19"/>
                <w:szCs w:val="19"/>
                <w:color w:val="auto"/>
              </w:rPr>
            </w:pPr>
          </w:p>
        </w:tc>
        <w:tc>
          <w:tcPr>
            <w:tcW w:w="1380" w:type="dxa"/>
            <w:vAlign w:val="bottom"/>
            <w:gridSpan w:val="4"/>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593,527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729,640</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156,388</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435,491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99,815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542,780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533,425</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3"/>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Products and</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shd w:val="clear" w:color="auto" w:fill="CCEEFF"/>
          </w:tcPr>
          <w:p>
            <w:pPr>
              <w:spacing w:after="0"/>
              <w:rPr>
                <w:sz w:val="14"/>
                <w:szCs w:val="14"/>
                <w:color w:val="auto"/>
              </w:rPr>
            </w:pPr>
          </w:p>
        </w:tc>
        <w:tc>
          <w:tcPr>
            <w:tcW w:w="1360" w:type="dxa"/>
            <w:vAlign w:val="bottom"/>
            <w:gridSpan w:val="3"/>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38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20" w:type="dxa"/>
            <w:vAlign w:val="bottom"/>
            <w:shd w:val="clear" w:color="auto" w:fill="CCEEFF"/>
          </w:tcPr>
          <w:p>
            <w:pPr>
              <w:spacing w:after="0"/>
              <w:rPr>
                <w:sz w:val="15"/>
                <w:szCs w:val="15"/>
                <w:color w:val="auto"/>
              </w:rPr>
            </w:pPr>
          </w:p>
        </w:tc>
        <w:tc>
          <w:tcPr>
            <w:tcW w:w="1360" w:type="dxa"/>
            <w:vAlign w:val="bottom"/>
            <w:gridSpan w:val="3"/>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spacing w:after="0"/>
              <w:rPr>
                <w:sz w:val="21"/>
                <w:szCs w:val="21"/>
                <w:color w:val="auto"/>
              </w:rPr>
            </w:pPr>
          </w:p>
        </w:tc>
        <w:tc>
          <w:tcPr>
            <w:tcW w:w="1380" w:type="dxa"/>
            <w:vAlign w:val="bottom"/>
            <w:gridSpan w:val="4"/>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12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2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579,330</w:t>
            </w:r>
          </w:p>
        </w:tc>
        <w:tc>
          <w:tcPr>
            <w:tcW w:w="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124,414</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705,473</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99,446</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166,749</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424,714</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540,887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540,628</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55,170</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(12,229)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3"/>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Products and</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shd w:val="clear" w:color="auto" w:fill="CCEEFF"/>
          </w:tcPr>
          <w:p>
            <w:pPr>
              <w:spacing w:after="0"/>
              <w:rPr>
                <w:sz w:val="14"/>
                <w:szCs w:val="14"/>
                <w:color w:val="auto"/>
              </w:rPr>
            </w:pPr>
          </w:p>
        </w:tc>
        <w:tc>
          <w:tcPr>
            <w:tcW w:w="1360" w:type="dxa"/>
            <w:vAlign w:val="bottom"/>
            <w:gridSpan w:val="3"/>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Corporate and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15"/>
                <w:szCs w:val="15"/>
                <w:color w:val="auto"/>
              </w:rPr>
            </w:pPr>
          </w:p>
        </w:tc>
        <w:tc>
          <w:tcPr>
            <w:tcW w:w="138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20" w:type="dxa"/>
            <w:vAlign w:val="bottom"/>
            <w:shd w:val="clear" w:color="auto" w:fill="CCEEFF"/>
          </w:tcPr>
          <w:p>
            <w:pPr>
              <w:spacing w:after="0"/>
              <w:rPr>
                <w:sz w:val="15"/>
                <w:szCs w:val="15"/>
                <w:color w:val="auto"/>
              </w:rPr>
            </w:pPr>
          </w:p>
        </w:tc>
        <w:tc>
          <w:tcPr>
            <w:tcW w:w="1360" w:type="dxa"/>
            <w:vAlign w:val="bottom"/>
            <w:gridSpan w:val="3"/>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spacing w:after="0"/>
              <w:rPr>
                <w:sz w:val="21"/>
                <w:szCs w:val="21"/>
                <w:color w:val="auto"/>
              </w:rPr>
            </w:pPr>
          </w:p>
        </w:tc>
        <w:tc>
          <w:tcPr>
            <w:tcW w:w="1380" w:type="dxa"/>
            <w:vAlign w:val="bottom"/>
            <w:gridSpan w:val="4"/>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12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2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573,336</w:t>
            </w:r>
          </w:p>
        </w:tc>
        <w:tc>
          <w:tcPr>
            <w:tcW w:w="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112,425</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698,488</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687,373</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102,087</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166,400</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421,633</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81,305</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501,174</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49,616</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tables above only reconcile to income (loss) from operations as our measure of segment profitability and the remainder of the reconciliation to net income (loss) can be seen on the Consolidated Statement of Income (Loss). For the year ended December 31, 2024, Products and Systems segment revenue was comprised of approximately $4.0 million of sales to the International segment, which was eliminated upon consolidation. Intersegment revenue related to sales between other segments was immaterial for the years ended December 31, 2024, 2023, and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spacing w:after="0"/>
              <w:rPr>
                <w:sz w:val="16"/>
                <w:szCs w:val="16"/>
                <w:color w:val="auto"/>
              </w:rPr>
            </w:pPr>
          </w:p>
        </w:tc>
      </w:tr>
      <w:tr>
        <w:trPr>
          <w:trHeight w:val="23"/>
        </w:trPr>
        <w:tc>
          <w:tcPr>
            <w:tcW w:w="69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9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38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37,622</w:t>
            </w:r>
          </w:p>
        </w:tc>
      </w:tr>
      <w:tr>
        <w:trPr>
          <w:trHeight w:val="230"/>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30"/>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9"/>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23"/>
        </w:trPr>
        <w:tc>
          <w:tcPr>
            <w:tcW w:w="6920" w:type="dxa"/>
            <w:vAlign w:val="bottom"/>
          </w:tcPr>
          <w:p>
            <w:pPr>
              <w:spacing w:after="0"/>
              <w:rPr>
                <w:sz w:val="19"/>
                <w:szCs w:val="19"/>
                <w:color w:val="auto"/>
              </w:rPr>
            </w:pPr>
          </w:p>
        </w:tc>
        <w:tc>
          <w:tcPr>
            <w:tcW w:w="13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43,994</w:t>
            </w:r>
          </w:p>
        </w:tc>
      </w:tr>
      <w:tr>
        <w:trPr>
          <w:trHeight w:val="20"/>
        </w:trPr>
        <w:tc>
          <w:tcPr>
            <w:tcW w:w="6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2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spacing w:after="0"/>
              <w:rPr>
                <w:sz w:val="16"/>
                <w:szCs w:val="16"/>
                <w:color w:val="auto"/>
              </w:rPr>
            </w:pPr>
          </w:p>
        </w:tc>
      </w:tr>
      <w:tr>
        <w:trPr>
          <w:trHeight w:val="23"/>
        </w:trPr>
        <w:tc>
          <w:tcPr>
            <w:tcW w:w="6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9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360" w:type="dxa"/>
            <w:vAlign w:val="bottom"/>
            <w:gridSpan w:val="2"/>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390,052</w:t>
            </w:r>
          </w:p>
        </w:tc>
        <w:tc>
          <w:tcPr>
            <w:tcW w:w="80" w:type="dxa"/>
            <w:vAlign w:val="bottom"/>
          </w:tcPr>
          <w:p>
            <w:pPr>
              <w:spacing w:after="0"/>
              <w:rPr>
                <w:sz w:val="19"/>
                <w:szCs w:val="19"/>
                <w:color w:val="auto"/>
              </w:rPr>
            </w:pPr>
          </w:p>
        </w:tc>
        <w:tc>
          <w:tcPr>
            <w:tcW w:w="6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402,782</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99,398</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13,259</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w:t>
            </w:r>
          </w:p>
        </w:tc>
      </w:tr>
      <w:tr>
        <w:trPr>
          <w:trHeight w:val="223"/>
        </w:trPr>
        <w:tc>
          <w:tcPr>
            <w:tcW w:w="690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80" w:type="dxa"/>
            <w:vAlign w:val="bottom"/>
          </w:tcPr>
          <w:p>
            <w:pPr>
              <w:spacing w:after="0"/>
              <w:rPr>
                <w:sz w:val="19"/>
                <w:szCs w:val="19"/>
                <w:color w:val="auto"/>
              </w:rPr>
            </w:pPr>
          </w:p>
        </w:tc>
        <w:tc>
          <w:tcPr>
            <w:tcW w:w="64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534,776</w:t>
            </w:r>
          </w:p>
        </w:tc>
      </w:tr>
      <w:tr>
        <w:trPr>
          <w:trHeight w:val="21"/>
        </w:trPr>
        <w:tc>
          <w:tcPr>
            <w:tcW w:w="6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37"/>
        </w:trPr>
        <w:tc>
          <w:tcPr>
            <w:tcW w:w="6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spacing w:after="0"/>
              <w:rPr>
                <w:sz w:val="24"/>
                <w:szCs w:val="24"/>
                <w:color w:val="auto"/>
              </w:rPr>
            </w:pPr>
          </w:p>
        </w:tc>
      </w:tr>
      <w:tr>
        <w:trPr>
          <w:trHeight w:val="23"/>
        </w:trPr>
        <w:tc>
          <w:tcPr>
            <w:tcW w:w="69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69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360" w:type="dxa"/>
            <w:vAlign w:val="bottom"/>
            <w:gridSpan w:val="2"/>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268,608</w:t>
            </w:r>
          </w:p>
        </w:tc>
        <w:tc>
          <w:tcPr>
            <w:tcW w:w="80" w:type="dxa"/>
            <w:vAlign w:val="bottom"/>
          </w:tcPr>
          <w:p>
            <w:pPr>
              <w:spacing w:after="0"/>
              <w:rPr>
                <w:sz w:val="19"/>
                <w:szCs w:val="19"/>
                <w:color w:val="auto"/>
              </w:rPr>
            </w:pPr>
          </w:p>
        </w:tc>
        <w:tc>
          <w:tcPr>
            <w:tcW w:w="6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279,358</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27,967</w:t>
            </w: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r>
      <w:tr>
        <w:trPr>
          <w:trHeight w:val="223"/>
        </w:trPr>
        <w:tc>
          <w:tcPr>
            <w:tcW w:w="6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312,320</w:t>
            </w: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w:t>
      </w:r>
      <w:r>
        <w:rPr>
          <w:rFonts w:ascii="Times New Roman" w:cs="Times New Roman" w:eastAsia="Times New Roman" w:hAnsi="Times New Roman"/>
          <w:sz w:val="18"/>
          <w:szCs w:val="18"/>
          <w:i w:val="1"/>
          <w:iCs w:val="1"/>
          <w:color w:val="auto"/>
        </w:rPr>
        <w:t>2-Revenue</w:t>
      </w:r>
      <w:r>
        <w:rPr>
          <w:rFonts w:ascii="Times New Roman" w:cs="Times New Roman" w:eastAsia="Times New Roman" w:hAnsi="Times New Roman"/>
          <w:sz w:val="18"/>
          <w:szCs w:val="18"/>
          <w:color w:val="auto"/>
        </w:rPr>
        <w:t>, for revenue by industry and by geographic area for the years ended December 31, 2024, 2023, and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5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On December 5, 2024, the Board, in furtherance of its management succession planning, appointed Natalia Shuman, as the Company’s President and Chief Executive Officer, effective as of January 1, 2025. In these positions, Ms. Shuman will succeed Manuel N. Stamatakis, who has served as the Company’s interim President and Chief Executive Officer since October 9, 2023. Mr. Stamatakis will continue as the Executive Chairman of the Company and, in this position, will continue to lead the Board and exercise supervisory responsibility over the strategic direction of the Company, oversee, and receive reports from, the new President and Chief Executive Officer, and perform such other duties from time to time that may be assigned to him by the Board.</w:t>
      </w:r>
    </w:p>
    <w:p>
      <w:pPr>
        <w:spacing w:after="0" w:line="19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December 12, 2024, the Company announced the appointment of Hani Hammad, previously the Company’s Executive Vice President and Chief Transformation Officer, to the position of Executive Vice President and Chief Operating Officer, effective January 1, 2025.</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December 31, 2024, the Compensation Committee approved the grant to Mr. Stamatakis, of a stock option for the purchase of 375,000 shares of the Company’s common stock at an exercise price per share equal to the closing price of the common stock, as reported on the New York Stock Exchange, on January 6,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6, 2025, the Company announced the passing of its founder and Chairman Emeritus, Dr. Sotirios Vahaviolos.</w:t>
      </w:r>
    </w:p>
    <w:p>
      <w:pPr>
        <w:spacing w:after="0" w:line="2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February 7, 2025, the Company terminated the employment of its Executive Vice President, and President of Services, John A. Smith. Mr. Smith’s separation is without cause and he will be entitled to receive severance and related benefits for such a separation, subject to the execution of a release by Mr. Smith.</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Interim President and Chief Executive Officer and our Senior Executive Vice President and Chief Financial Officer, of the effectiveness of the design and operation of our disclosure controls and procedures (as defined in Rule 13a-15(e) under the Exchange Act). Based upon that evaluation, our Interim President and Chief Executive Officer and our Senior Executive Vice President and Chief Financial Officer concluded that, as of December 31, 2024, our disclosure controls and procedures were effective.</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Chairman and Interim President and Chief Executive Officer and our Senior Executive Vice President and Chief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2024. In making this assessment, management used the criteria set forth by the Committee of Sponsoring Organizations of the Treadway Commission (COSO) in the updated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issued in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that assessment, our management concluded that, as of December 31, 2024, our internal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financial reporting was effective.</w:t>
      </w:r>
    </w:p>
    <w:p>
      <w:pPr>
        <w:spacing w:after="0" w:line="3" w:lineRule="exact"/>
        <w:rPr>
          <w:sz w:val="20"/>
          <w:szCs w:val="20"/>
          <w:color w:val="auto"/>
        </w:rPr>
      </w:pPr>
    </w:p>
    <w:p>
      <w:pPr>
        <w:ind w:right="780"/>
        <w:spacing w:after="0" w:line="26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which appears herein.</w:t>
      </w: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December 31, 2024,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officers (as defined in Rule 16a-1(f) of the Exchange Act) adopted, terminated or modified a Rule 10b5-1 trading arrangement or non-Rule 10b5-1 trading arrangement (as such terms are defined in Item 408 of Regulation S-K of the Securities Act). During the three months ended December 31, 2024, the Company did not adopt, terminate or modify a Rule 10b5-1 trading arrangement.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Certain of the information concerning our executive officers required by this Item 10 is provided under the caption “Executive Officers” in Part I of this Annual Report. The remaining information required by Item 10 is incorporated herein by reference to the relevant information to be included in our definitive proxy statement related to our 2024 annual meeting of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the Company’s securities by directors, officers, and employees, or the Company itself, that are reasonably designed to promote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compliance with insider trading laws, rules and regulations, and the listing standards applicable to the Company (the “Insider Trading Compliance Policy”).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Insider Trading Compliance Policy is filed as Exhibit 19.1 to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to the relevant information to be included in our definitive proxy statement related to the 2025 annual meeting of stockholders.</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is incorporated by reference to the relevant information to be included in our definitive proxy statement related to the 2025 annual meeting of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incorporated by reference to the relevant information to be included in our definitive proxy statement related to the 2025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incorporated by reference to the information to be included in our definitive proxy statement related to the 2025 annual meeting of stockholders.</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following financial statements are filed herewith in Item 8 of Part II above:</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9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520" w:type="dxa"/>
            <w:vAlign w:val="bottom"/>
            <w:gridSpan w:val="5"/>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 PricewaterhouseCoopers LLP</w:t>
            </w:r>
          </w:p>
        </w:tc>
        <w:tc>
          <w:tcPr>
            <w:tcW w:w="3700" w:type="dxa"/>
            <w:vAlign w:val="bottom"/>
            <w:gridSpan w:val="4"/>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520" w:type="dxa"/>
            <w:vAlign w:val="bottom"/>
            <w:gridSpan w:val="5"/>
            <w:vMerge w:val="continue"/>
          </w:tcPr>
          <w:p>
            <w:pPr>
              <w:spacing w:after="0"/>
              <w:rPr>
                <w:sz w:val="14"/>
                <w:szCs w:val="14"/>
                <w:color w:val="auto"/>
              </w:rPr>
            </w:pPr>
          </w:p>
        </w:tc>
        <w:tc>
          <w:tcPr>
            <w:tcW w:w="3700" w:type="dxa"/>
            <w:vAlign w:val="bottom"/>
            <w:gridSpan w:val="4"/>
            <w:vMerge w:val="continue"/>
          </w:tcPr>
          <w:p>
            <w:pPr>
              <w:spacing w:after="0"/>
              <w:rPr>
                <w:sz w:val="14"/>
                <w:szCs w:val="14"/>
                <w:color w:val="auto"/>
              </w:rPr>
            </w:pPr>
          </w:p>
        </w:tc>
        <w:tc>
          <w:tcPr>
            <w:tcW w:w="9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04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40" w:type="dxa"/>
            <w:vAlign w:val="bottom"/>
            <w:gridSpan w:val="2"/>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 KPMG LLP</w:t>
            </w:r>
          </w:p>
        </w:tc>
        <w:tc>
          <w:tcPr>
            <w:tcW w:w="3700" w:type="dxa"/>
            <w:vAlign w:val="bottom"/>
            <w:gridSpan w:val="4"/>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December 31, 2023</w:t>
            </w:r>
          </w:p>
        </w:tc>
        <w:tc>
          <w:tcPr>
            <w:tcW w:w="4540" w:type="dxa"/>
            <w:vAlign w:val="bottom"/>
            <w:gridSpan w:val="6"/>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(loss) for the years ended December 31, 2024, 2023 and 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2024, 2023 and 2022</w:t>
            </w:r>
          </w:p>
        </w:tc>
        <w:tc>
          <w:tcPr>
            <w:tcW w:w="20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3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for the years ended December 31, 2024, 2023 and 2022</w:t>
            </w:r>
          </w:p>
        </w:tc>
        <w:tc>
          <w:tcPr>
            <w:tcW w:w="1660" w:type="dxa"/>
            <w:vAlign w:val="bottom"/>
            <w:gridSpan w:val="3"/>
          </w:tcPr>
          <w:p>
            <w:pPr>
              <w:spacing w:after="0"/>
              <w:rPr>
                <w:sz w:val="18"/>
                <w:szCs w:val="18"/>
                <w:color w:val="auto"/>
              </w:rPr>
            </w:pPr>
          </w:p>
        </w:tc>
        <w:tc>
          <w:tcPr>
            <w:tcW w:w="20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348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380" w:type="dxa"/>
            <w:vAlign w:val="bottom"/>
            <w:gridSpan w:val="3"/>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380" w:type="dxa"/>
            <w:vAlign w:val="bottom"/>
            <w:gridSpan w:val="3"/>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of the absence of conditions under which they are required or because the required information is given in the financial statements or notes thereto.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(3) Exhibits</w:t>
            </w:r>
          </w:p>
        </w:tc>
        <w:tc>
          <w:tcPr>
            <w:tcW w:w="3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280" w:type="dxa"/>
            <w:vAlign w:val="bottom"/>
          </w:tcPr>
          <w:p>
            <w:pPr>
              <w:spacing w:after="0"/>
              <w:rPr>
                <w:sz w:val="23"/>
                <w:szCs w:val="23"/>
                <w:color w:val="auto"/>
              </w:rPr>
            </w:pPr>
          </w:p>
        </w:tc>
        <w:tc>
          <w:tcPr>
            <w:tcW w:w="626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8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540" w:type="dxa"/>
            <w:vAlign w:val="bottom"/>
            <w:gridSpan w:val="7"/>
          </w:tcPr>
          <w:p>
            <w:pPr>
              <w:spacing w:after="0"/>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Second Amended and Restated Certificate of Incorporation (filed as exhibit 3.1 to Registration Statement on Form S-1 (Amendment</w:t>
              </w:r>
            </w:hyperlink>
          </w:p>
        </w:tc>
      </w:tr>
      <w:tr>
        <w:trPr>
          <w:trHeight w:val="183"/>
        </w:trPr>
        <w:tc>
          <w:tcPr>
            <w:tcW w:w="1600" w:type="dxa"/>
            <w:vAlign w:val="bottom"/>
          </w:tcPr>
          <w:p>
            <w:pPr>
              <w:spacing w:after="0"/>
              <w:rPr>
                <w:sz w:val="15"/>
                <w:szCs w:val="15"/>
                <w:color w:val="auto"/>
              </w:rPr>
            </w:pPr>
          </w:p>
        </w:tc>
        <w:tc>
          <w:tcPr>
            <w:tcW w:w="9520" w:type="dxa"/>
            <w:vAlign w:val="bottom"/>
            <w:tcBorders>
              <w:top w:val="single" w:sz="8" w:color="0000FF"/>
            </w:tcBorders>
            <w:gridSpan w:val="6"/>
          </w:tcPr>
          <w:p>
            <w:pPr>
              <w:spacing w:after="0" w:line="18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No. 4) filed on September 21, 2009 (Registration No. 333-151559) and incorporated herein by reference)</w:t>
              </w:r>
            </w:hyperlink>
          </w:p>
        </w:tc>
        <w:tc>
          <w:tcPr>
            <w:tcW w:w="20" w:type="dxa"/>
            <w:vAlign w:val="bottom"/>
          </w:tcPr>
          <w:p>
            <w:pPr>
              <w:spacing w:after="0"/>
              <w:rPr>
                <w:sz w:val="15"/>
                <w:szCs w:val="15"/>
                <w:color w:val="auto"/>
              </w:rPr>
            </w:pPr>
          </w:p>
        </w:tc>
      </w:tr>
      <w:tr>
        <w:trPr>
          <w:trHeight w:val="20"/>
        </w:trPr>
        <w:tc>
          <w:tcPr>
            <w:tcW w:w="16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540" w:type="dxa"/>
            <w:vAlign w:val="bottom"/>
            <w:gridSpan w:val="7"/>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Certificate of Amendment to the Second Amended and Restated Certificate of Incorporation (filed as exhibit 3.1 to the Quarterly</w:t>
              </w:r>
            </w:hyperlink>
          </w:p>
        </w:tc>
      </w:tr>
      <w:tr>
        <w:trPr>
          <w:trHeight w:val="183"/>
        </w:trPr>
        <w:tc>
          <w:tcPr>
            <w:tcW w:w="1600" w:type="dxa"/>
            <w:vAlign w:val="bottom"/>
          </w:tcPr>
          <w:p>
            <w:pPr>
              <w:spacing w:after="0"/>
              <w:rPr>
                <w:sz w:val="15"/>
                <w:szCs w:val="15"/>
                <w:color w:val="auto"/>
              </w:rPr>
            </w:pPr>
          </w:p>
        </w:tc>
        <w:tc>
          <w:tcPr>
            <w:tcW w:w="9280" w:type="dxa"/>
            <w:vAlign w:val="bottom"/>
            <w:tcBorders>
              <w:top w:val="single" w:sz="8" w:color="0000FF"/>
            </w:tcBorders>
            <w:gridSpan w:val="4"/>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Report on Form 10-Q filed on January 11, 2017 and incorporated herein by reference)</w:t>
              </w:r>
            </w:hyperlink>
          </w:p>
        </w:tc>
        <w:tc>
          <w:tcPr>
            <w:tcW w:w="1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0"/>
        </w:trPr>
        <w:tc>
          <w:tcPr>
            <w:tcW w:w="16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540" w:type="dxa"/>
            <w:vAlign w:val="bottom"/>
            <w:gridSpan w:val="7"/>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Bylaws, effective July 20, 2016 (filed as exhibit 3.1 to the Quarterly Report on Form 10-Q filed on October</w:t>
              </w:r>
            </w:hyperlink>
          </w:p>
        </w:tc>
      </w:tr>
      <w:tr>
        <w:trPr>
          <w:trHeight w:val="183"/>
        </w:trPr>
        <w:tc>
          <w:tcPr>
            <w:tcW w:w="1600" w:type="dxa"/>
            <w:vAlign w:val="bottom"/>
          </w:tcPr>
          <w:p>
            <w:pPr>
              <w:spacing w:after="0"/>
              <w:rPr>
                <w:sz w:val="15"/>
                <w:szCs w:val="15"/>
                <w:color w:val="auto"/>
              </w:rPr>
            </w:pPr>
          </w:p>
        </w:tc>
        <w:tc>
          <w:tcPr>
            <w:tcW w:w="9440" w:type="dxa"/>
            <w:vAlign w:val="bottom"/>
            <w:tcBorders>
              <w:top w:val="single" w:sz="8" w:color="0000FF"/>
            </w:tcBorders>
            <w:gridSpan w:val="5"/>
          </w:tcPr>
          <w:p>
            <w:pPr>
              <w:spacing w:after="0" w:line="18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7, 2016 and incorporated herein by reference)</w:t>
              </w:r>
            </w:hyperlink>
          </w:p>
        </w:tc>
        <w:tc>
          <w:tcPr>
            <w:tcW w:w="100" w:type="dxa"/>
            <w:vAlign w:val="bottom"/>
            <w:gridSpan w:val="2"/>
          </w:tcPr>
          <w:p>
            <w:pPr>
              <w:spacing w:after="0"/>
              <w:rPr>
                <w:sz w:val="15"/>
                <w:szCs w:val="15"/>
                <w:color w:val="auto"/>
              </w:rPr>
            </w:pPr>
          </w:p>
        </w:tc>
      </w:tr>
      <w:tr>
        <w:trPr>
          <w:trHeight w:val="20"/>
        </w:trPr>
        <w:tc>
          <w:tcPr>
            <w:tcW w:w="16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803"/>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Description of Securities Registered Under Section 12 of the Securities Exchange Act of 1934 (filed as Exhibit 4.2 to the Annual</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8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Report on Form 10-K filed March 27, 2020 and incorporated herein by reference)</w:t>
              </w:r>
            </w:hyperlink>
          </w:p>
        </w:tc>
        <w:tc>
          <w:tcPr>
            <w:tcW w:w="340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Credit Agreement, dated August 1, 2022 (filed as Exhibit 10.1 to the Annual Report on Form 10-K filed March 15, 2023 and</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106">
              <w:r>
                <w:rPr>
                  <w:rFonts w:ascii="Times New Roman" w:cs="Times New Roman" w:eastAsia="Times New Roman" w:hAnsi="Times New Roman"/>
                  <w:sz w:val="18"/>
                  <w:szCs w:val="18"/>
                  <w:color w:val="0000FF"/>
                  <w:w w:val="98"/>
                </w:rPr>
                <w:t>incorporated herein by reference).</w:t>
              </w:r>
            </w:hyperlink>
          </w:p>
        </w:tc>
        <w:tc>
          <w:tcPr>
            <w:tcW w:w="6540" w:type="dxa"/>
            <w:vAlign w:val="bottom"/>
            <w:tcBorders>
              <w:top w:val="single" w:sz="8" w:color="0000FF"/>
            </w:tcBorders>
            <w:gridSpan w:val="23"/>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First Amendment, dated February 27, 2024, to the Credit Agreement, dated August 1, 2022 (filed as exhibit 10.1 to Current Report</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40" w:type="dxa"/>
            <w:vAlign w:val="bottom"/>
            <w:tcBorders>
              <w:top w:val="single" w:sz="8" w:color="0000FF"/>
            </w:tcBorders>
            <w:gridSpan w:val="42"/>
          </w:tcPr>
          <w:p>
            <w:pPr>
              <w:spacing w:after="0" w:line="182"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on Form 8-K filed on March 1, 2024 and incorporated herein by reference)</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Indemnification Agreement for directors and officers (filed as exhibit 10.1 to the Registration Statement on Form S-1</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560" w:type="dxa"/>
            <w:vAlign w:val="bottom"/>
            <w:tcBorders>
              <w:top w:val="single" w:sz="8" w:color="0000FF"/>
              <w:bottom w:val="single" w:sz="8" w:color="0000FF"/>
            </w:tcBorders>
            <w:gridSpan w:val="23"/>
          </w:tcPr>
          <w:p>
            <w:pPr>
              <w:spacing w:after="0" w:line="182"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(Amendment No. 4) filed on September 21, 2009 (Registration No. 333-151559) and incorporated herein by reference)</w:t>
              </w:r>
            </w:hyperlink>
          </w:p>
        </w:tc>
        <w:tc>
          <w:tcPr>
            <w:tcW w:w="50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Mistras Group, Inc. 2016 Long-Term Incentive Plan (filed as exhibit B to the Definitive Proxy Statement dated September 7, 2016</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and incorporated herein by reference)</w:t>
              </w:r>
            </w:hyperlink>
          </w:p>
        </w:tc>
        <w:tc>
          <w:tcPr>
            <w:tcW w:w="6700" w:type="dxa"/>
            <w:vAlign w:val="bottom"/>
            <w:tcBorders>
              <w:top w:val="single" w:sz="8" w:color="0000FF"/>
            </w:tcBorders>
            <w:gridSpan w:val="3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Amendment No. 1, dated May 19, 2020, to the 2016 Long-Term Incentive Plan (filed as exhibit 10.2 to the Quarterly Report Form</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10-Q filed on August 7, 2020 and incorporated herein by reference)</w:t>
              </w:r>
            </w:hyperlink>
          </w:p>
        </w:tc>
        <w:tc>
          <w:tcPr>
            <w:tcW w:w="4520" w:type="dxa"/>
            <w:vAlign w:val="bottom"/>
            <w:tcBorders>
              <w:top w:val="single" w:sz="8" w:color="0000FF"/>
            </w:tcBorders>
            <w:gridSpan w:val="3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Amendment No. 2, dated December 1, 2020, to the 2016 Long-Term Incentive Plan (filed as exhibit 10.10 to the Annual Report on</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2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Form 10-K filed March 16, 2021 and incorporated herein by reference)</w:t>
              </w:r>
            </w:hyperlink>
          </w:p>
        </w:tc>
        <w:tc>
          <w:tcPr>
            <w:tcW w:w="4340" w:type="dxa"/>
            <w:vAlign w:val="bottom"/>
            <w:tcBorders>
              <w:top w:val="single" w:sz="8" w:color="0000FF"/>
            </w:tcBorders>
            <w:gridSpan w:val="35"/>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Amendment No. 3 dated May 23, 2022 to the 2016 Long-Term Incentive Plan (filed as exhibit 10.2 to the Quarterly Report on Form</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20" w:type="dxa"/>
            <w:vAlign w:val="bottom"/>
            <w:tcBorders>
              <w:top w:val="single" w:sz="8" w:color="0000FF"/>
            </w:tcBorders>
            <w:gridSpan w:val="44"/>
          </w:tcPr>
          <w:p>
            <w:pPr>
              <w:spacing w:after="0" w:line="182"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10-Q filed on August 5, 2022 and incorporated herein by reference)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Mistras Group, Inc. 2016 Long-Term Incentive Plan, Amended and Restated as of March 27, 2024 (filed as Exhibit A to the</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16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Definitive Proxy Statement dated April 4, 2024 and incorporated herein by reference)</w:t>
              </w:r>
            </w:hyperlink>
          </w:p>
        </w:tc>
        <w:tc>
          <w:tcPr>
            <w:tcW w:w="2760" w:type="dxa"/>
            <w:vAlign w:val="bottom"/>
            <w:tcBorders>
              <w:top w:val="single" w:sz="8" w:color="0000FF"/>
            </w:tcBorders>
            <w:gridSpan w:val="6"/>
          </w:tcPr>
          <w:p>
            <w:pPr>
              <w:spacing w:after="0"/>
              <w:rPr>
                <w:sz w:val="15"/>
                <w:szCs w:val="15"/>
                <w:color w:val="auto"/>
              </w:rPr>
            </w:pPr>
          </w:p>
        </w:tc>
        <w:tc>
          <w:tcPr>
            <w:tcW w:w="1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Restricted Stock Unit Certificate for awards to senior officers under the 2016 Long-Term Incentive Plan (filed as exhibit</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8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Quarterly Report Form 10-Q filed on May 19, 2020 and incorporated herein by reference)</w:t>
              </w:r>
            </w:hyperlink>
          </w:p>
        </w:tc>
        <w:tc>
          <w:tcPr>
            <w:tcW w:w="202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20" w:type="dxa"/>
            <w:vAlign w:val="bottom"/>
          </w:tcPr>
          <w:p>
            <w:pPr>
              <w:spacing w:after="0"/>
              <w:rPr>
                <w:sz w:val="21"/>
                <w:szCs w:val="21"/>
                <w:color w:val="auto"/>
              </w:rPr>
            </w:pPr>
          </w:p>
        </w:tc>
        <w:tc>
          <w:tcPr>
            <w:tcW w:w="9640" w:type="dxa"/>
            <w:vAlign w:val="bottom"/>
            <w:gridSpan w:val="47"/>
          </w:tcPr>
          <w:p>
            <w:pPr>
              <w:spacing w:after="0"/>
              <w:rPr>
                <w:sz w:val="20"/>
                <w:szCs w:val="20"/>
                <w:color w:val="auto"/>
              </w:rPr>
            </w:pPr>
            <w:r>
              <w:rPr>
                <w:rFonts w:ascii="Times New Roman" w:cs="Times New Roman" w:eastAsia="Times New Roman" w:hAnsi="Times New Roman"/>
                <w:sz w:val="18"/>
                <w:szCs w:val="18"/>
                <w:color w:val="0000FF"/>
              </w:rPr>
              <w:t>Mistras Group, Inc. Executive Severance Plan adopted on December 4, 2024</w:t>
            </w: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20" w:type="dxa"/>
            <w:vAlign w:val="bottom"/>
          </w:tcPr>
          <w:p>
            <w:pPr>
              <w:spacing w:after="0"/>
              <w:rPr>
                <w:sz w:val="20"/>
                <w:szCs w:val="20"/>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Employment Agreement between the Company and Sotirios J. Vahaviolos, dated February 28, 2018 (filed as exhibit 10.1 to the</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380" w:type="dxa"/>
            <w:vAlign w:val="bottom"/>
            <w:tcBorders>
              <w:top w:val="single" w:sz="8" w:color="0000FF"/>
              <w:bottom w:val="single" w:sz="8" w:color="0000FF"/>
            </w:tcBorders>
            <w:gridSpan w:val="20"/>
          </w:tcPr>
          <w:p>
            <w:pPr>
              <w:spacing w:after="0" w:line="182"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Quarterly Report on Form 10-Q filed May 8, 2018 and incorporated by reference herein)</w:t>
              </w:r>
            </w:hyperlink>
          </w:p>
        </w:tc>
        <w:tc>
          <w:tcPr>
            <w:tcW w:w="2800" w:type="dxa"/>
            <w:vAlign w:val="bottom"/>
            <w:tcBorders>
              <w:top w:val="single" w:sz="8" w:color="0000FF"/>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320" w:type="dxa"/>
            <w:vAlign w:val="bottom"/>
          </w:tcPr>
          <w:p>
            <w:pPr>
              <w:spacing w:after="0"/>
              <w:rPr>
                <w:sz w:val="20"/>
                <w:szCs w:val="20"/>
                <w:color w:val="auto"/>
              </w:rPr>
            </w:pPr>
          </w:p>
        </w:tc>
        <w:tc>
          <w:tcPr>
            <w:tcW w:w="932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Description of Compensation for Non-Employee Directors effective January 1, 2023 (filed as exhibit 10.2 to Quarterly Report on</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14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56"/>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Form 10-Q filed on May 5, 2023, and incorporated herein by reference).</w:t>
              </w:r>
            </w:hyperlink>
          </w:p>
        </w:tc>
        <w:tc>
          <w:tcPr>
            <w:tcW w:w="4120" w:type="dxa"/>
            <w:vAlign w:val="bottom"/>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tcPr>
          <w:p>
            <w:pPr>
              <w:spacing w:after="0"/>
              <w:rPr>
                <w:sz w:val="19"/>
                <w:szCs w:val="19"/>
                <w:color w:val="auto"/>
              </w:rPr>
            </w:pPr>
          </w:p>
        </w:tc>
        <w:tc>
          <w:tcPr>
            <w:tcW w:w="9580" w:type="dxa"/>
            <w:vAlign w:val="bottom"/>
            <w:tcBorders>
              <w:bottom w:val="single" w:sz="8" w:color="0000FF"/>
            </w:tcBorders>
            <w:gridSpan w:val="46"/>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Separation Agreement and Release between Jonathan Wolk and Registrant (filed as exhibit 10.1 to Current Report on Form 8-K filed</w:t>
              </w:r>
            </w:hyperlink>
          </w:p>
        </w:tc>
        <w:tc>
          <w:tcPr>
            <w:tcW w:w="60" w:type="dxa"/>
            <w:vAlign w:val="bottom"/>
          </w:tcPr>
          <w:p>
            <w:pPr>
              <w:spacing w:after="0"/>
              <w:rPr>
                <w:sz w:val="19"/>
                <w:szCs w:val="19"/>
                <w:color w:val="auto"/>
              </w:rPr>
            </w:pPr>
          </w:p>
        </w:tc>
      </w:tr>
      <w:tr>
        <w:trPr>
          <w:trHeight w:val="156"/>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80" w:type="dxa"/>
            <w:vAlign w:val="bottom"/>
            <w:gridSpan w:val="46"/>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on March 8, 2023 and incorporated herein by reference).</w:t>
              </w:r>
            </w:hyperlink>
          </w:p>
        </w:tc>
        <w:tc>
          <w:tcPr>
            <w:tcW w:w="6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tcPr>
          <w:p>
            <w:pPr>
              <w:spacing w:after="0"/>
              <w:rPr>
                <w:sz w:val="19"/>
                <w:szCs w:val="19"/>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Employment Agreement between the Company and Gennaro A. D'Alterio dated September 11, 2023 (filed as exhibit 10.1 to the</w:t>
              </w:r>
            </w:hyperlink>
          </w:p>
        </w:tc>
      </w:tr>
      <w:tr>
        <w:trPr>
          <w:trHeight w:val="155"/>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Quarterly Report on Form 10-Q filed November 6, 2023 and incorporated by reference herein).</w:t>
              </w:r>
            </w:hyperlink>
          </w:p>
        </w:tc>
        <w:tc>
          <w:tcPr>
            <w:tcW w:w="23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20" w:type="dxa"/>
            <w:vAlign w:val="bottom"/>
          </w:tcPr>
          <w:p>
            <w:pPr>
              <w:spacing w:after="0"/>
              <w:rPr>
                <w:sz w:val="20"/>
                <w:szCs w:val="20"/>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Employment Agreement between the Company and John A. Smith dated October 1, 2023 (filed as exhibit 10.16 to the Annual</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0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Report on Form 10-K filed March 11, 2024 and incorporated herein by reference)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720" w:type="dxa"/>
            <w:vAlign w:val="bottom"/>
            <w:gridSpan w:val="7"/>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Letter Agreement dated October 9, 2023, between the Company and Manuel N. Stamatakis (filed as exhibit 10.1 to Current Report</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20" w:type="dxa"/>
            <w:vAlign w:val="bottom"/>
            <w:tcBorders>
              <w:top w:val="single" w:sz="8" w:color="0000FF"/>
            </w:tcBorders>
            <w:gridSpan w:val="41"/>
          </w:tcPr>
          <w:p>
            <w:pPr>
              <w:spacing w:after="0" w:line="18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on Form 8-K filed on October 10, 2023 and incorporated herein by reference).</w:t>
              </w:r>
            </w:hyperlink>
          </w:p>
        </w:tc>
        <w:tc>
          <w:tcPr>
            <w:tcW w:w="14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720" w:type="dxa"/>
            <w:vAlign w:val="bottom"/>
            <w:gridSpan w:val="7"/>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Inducement Award between the Company and Manuel N. Stamatakis dated October 11, 2023 (filed as exhibit 10.18 to the Annual</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360" w:type="dxa"/>
            <w:vAlign w:val="bottom"/>
            <w:tcBorders>
              <w:top w:val="single" w:sz="8" w:color="0000FF"/>
            </w:tcBorders>
            <w:gridSpan w:val="38"/>
          </w:tcPr>
          <w:p>
            <w:pPr>
              <w:spacing w:after="0" w:line="182"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Report on Form 10-K filed March 11, 2024 and incorporated herein by reference)</w:t>
              </w:r>
            </w:hyperlink>
          </w:p>
        </w:tc>
        <w:tc>
          <w:tcPr>
            <w:tcW w:w="20" w:type="dxa"/>
            <w:vAlign w:val="bottom"/>
          </w:tcPr>
          <w:p>
            <w:pPr>
              <w:spacing w:after="0"/>
              <w:rPr>
                <w:sz w:val="15"/>
                <w:szCs w:val="15"/>
                <w:color w:val="auto"/>
              </w:rPr>
            </w:pPr>
          </w:p>
        </w:tc>
        <w:tc>
          <w:tcPr>
            <w:tcW w:w="180" w:type="dxa"/>
            <w:vAlign w:val="bottom"/>
            <w:gridSpan w:val="6"/>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720" w:type="dxa"/>
            <w:vAlign w:val="bottom"/>
            <w:gridSpan w:val="7"/>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20" w:type="dxa"/>
            <w:vAlign w:val="bottom"/>
          </w:tcPr>
          <w:p>
            <w:pPr>
              <w:spacing w:after="0"/>
              <w:rPr>
                <w:sz w:val="21"/>
                <w:szCs w:val="21"/>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Separation Agreement (and a General Release of Claims attached thereto) between the Company and Dennis Bertolotti effective</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4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December 6, 2023 (filed as exhibited 10.1 to Current Report on Form 8-K filed December 8, 2023, and incorporated herein by</w:t>
              </w:r>
            </w:hyperlink>
          </w:p>
        </w:tc>
        <w:tc>
          <w:tcPr>
            <w:tcW w:w="10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6"/>
          </w:tcPr>
          <w:p>
            <w:pPr>
              <w:spacing w:after="0"/>
              <w:rPr>
                <w:sz w:val="15"/>
                <w:szCs w:val="15"/>
                <w:color w:val="auto"/>
              </w:rPr>
            </w:pPr>
          </w:p>
        </w:tc>
        <w:tc>
          <w:tcPr>
            <w:tcW w:w="8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reference).</w:t>
              </w:r>
            </w:hyperlink>
          </w:p>
        </w:tc>
        <w:tc>
          <w:tcPr>
            <w:tcW w:w="560" w:type="dxa"/>
            <w:vAlign w:val="bottom"/>
            <w:gridSpan w:val="20"/>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9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20" w:type="dxa"/>
            <w:vAlign w:val="bottom"/>
          </w:tcPr>
          <w:p>
            <w:pPr>
              <w:spacing w:after="0"/>
              <w:rPr>
                <w:sz w:val="19"/>
                <w:szCs w:val="19"/>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Employment Agreement between the registrant and Hani Hammad dated March 26, 2024 (filed as exhibit 10.1 to the Quarterly</w:t>
              </w:r>
            </w:hyperlink>
          </w:p>
        </w:tc>
      </w:tr>
      <w:tr>
        <w:trPr>
          <w:trHeight w:val="155"/>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Report on Form 10-Q filed on May 3, 2024, and incorporated herein by reference)</w:t>
              </w:r>
            </w:hyperlink>
          </w:p>
        </w:tc>
        <w:tc>
          <w:tcPr>
            <w:tcW w:w="32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20" w:type="dxa"/>
            <w:vAlign w:val="bottom"/>
          </w:tcPr>
          <w:p>
            <w:pPr>
              <w:spacing w:after="0"/>
              <w:rPr>
                <w:sz w:val="19"/>
                <w:szCs w:val="19"/>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Employment Agreement between the registrant and Natalia Shuman-Fabbri dated December 5, 2024 (filed as exhibit 10.1 to Current</w:t>
              </w:r>
            </w:hyperlink>
          </w:p>
        </w:tc>
      </w:tr>
      <w:tr>
        <w:trPr>
          <w:trHeight w:val="155"/>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Report on Form 8-K filed on December 5, 2024, and incorporated herein by reference)</w:t>
              </w:r>
            </w:hyperlink>
          </w:p>
        </w:tc>
        <w:tc>
          <w:tcPr>
            <w:tcW w:w="3320" w:type="dxa"/>
            <w:vAlign w:val="bottom"/>
            <w:tcBorders>
              <w:top w:val="single" w:sz="8" w:color="0000FF"/>
            </w:tcBorders>
            <w:gridSpan w:val="26"/>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20" w:type="dxa"/>
            <w:vAlign w:val="bottom"/>
          </w:tcPr>
          <w:p>
            <w:pPr>
              <w:spacing w:after="0"/>
              <w:rPr>
                <w:sz w:val="19"/>
                <w:szCs w:val="19"/>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Employment Agreement between the registrant and Edward Prajzner dated December 31, 2024 (filed as exhibit 10.1 to Current</w:t>
              </w:r>
            </w:hyperlink>
          </w:p>
        </w:tc>
      </w:tr>
      <w:tr>
        <w:trPr>
          <w:trHeight w:val="155"/>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Report on Form 8-K filed on January 2, 2025, and incorporated herein by reference)</w:t>
              </w:r>
            </w:hyperlink>
          </w:p>
        </w:tc>
        <w:tc>
          <w:tcPr>
            <w:tcW w:w="3100" w:type="dxa"/>
            <w:vAlign w:val="bottom"/>
            <w:tcBorders>
              <w:top w:val="single" w:sz="8" w:color="0000FF"/>
            </w:tcBorders>
            <w:gridSpan w:val="13"/>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8"/>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320" w:type="dxa"/>
            <w:vAlign w:val="bottom"/>
          </w:tcPr>
          <w:p>
            <w:pPr>
              <w:spacing w:after="0"/>
              <w:rPr>
                <w:sz w:val="19"/>
                <w:szCs w:val="19"/>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Employment Agreement between the registrant and Manuel Stamatakis dated December 31, 2024 (filed as exhibit 10.1 to Current</w:t>
              </w:r>
            </w:hyperlink>
          </w:p>
        </w:tc>
      </w:tr>
      <w:tr>
        <w:trPr>
          <w:trHeight w:val="155"/>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Report on Form 8-K/A filed on January 2, 2025, and incorporated herein by reference)</w:t>
              </w:r>
            </w:hyperlink>
          </w:p>
        </w:tc>
        <w:tc>
          <w:tcPr>
            <w:tcW w:w="310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8"/>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320" w:type="dxa"/>
            <w:vAlign w:val="bottom"/>
          </w:tcPr>
          <w:p>
            <w:pPr>
              <w:spacing w:after="0"/>
              <w:rPr>
                <w:sz w:val="19"/>
                <w:szCs w:val="19"/>
                <w:color w:val="auto"/>
              </w:rPr>
            </w:pPr>
          </w:p>
        </w:tc>
        <w:tc>
          <w:tcPr>
            <w:tcW w:w="9640" w:type="dxa"/>
            <w:vAlign w:val="bottom"/>
            <w:gridSpan w:val="47"/>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Stock Option Award Agreement between the registrant and Manuel Stamatakis (filed as exhibit 10.2 to Current Report on</w:t>
              </w:r>
            </w:hyperlink>
          </w:p>
        </w:tc>
      </w:tr>
      <w:tr>
        <w:trPr>
          <w:trHeight w:val="155"/>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38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8-K/A filed January 2, 2025, and incorporated herein by reference)</w:t>
              </w:r>
            </w:hyperlink>
          </w:p>
        </w:tc>
        <w:tc>
          <w:tcPr>
            <w:tcW w:w="260" w:type="dxa"/>
            <w:vAlign w:val="bottom"/>
            <w:gridSpan w:val="8"/>
          </w:tcPr>
          <w:p>
            <w:pPr>
              <w:spacing w:after="0"/>
              <w:rPr>
                <w:sz w:val="13"/>
                <w:szCs w:val="13"/>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20"/>
                <w:szCs w:val="20"/>
                <w:color w:val="auto"/>
              </w:rPr>
            </w:pPr>
          </w:p>
        </w:tc>
        <w:tc>
          <w:tcPr>
            <w:tcW w:w="2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Insider Trading Compliance Policy</w:t>
            </w:r>
          </w:p>
        </w:tc>
        <w:tc>
          <w:tcPr>
            <w:tcW w:w="2720" w:type="dxa"/>
            <w:vAlign w:val="bottom"/>
            <w:tcBorders>
              <w:top w:val="single" w:sz="8" w:color="0000FF"/>
            </w:tcBorders>
            <w:gridSpan w:val="7"/>
          </w:tcPr>
          <w:p>
            <w:pPr>
              <w:spacing w:after="0"/>
              <w:rPr>
                <w:sz w:val="20"/>
                <w:szCs w:val="20"/>
                <w:color w:val="auto"/>
              </w:rPr>
            </w:pPr>
          </w:p>
        </w:tc>
        <w:tc>
          <w:tcPr>
            <w:tcW w:w="4400" w:type="dxa"/>
            <w:vAlign w:val="bottom"/>
            <w:gridSpan w:val="37"/>
          </w:tcPr>
          <w:p>
            <w:pPr>
              <w:spacing w:after="0"/>
              <w:rPr>
                <w:sz w:val="20"/>
                <w:szCs w:val="20"/>
                <w:color w:val="auto"/>
              </w:rPr>
            </w:pPr>
          </w:p>
        </w:tc>
      </w:tr>
      <w:tr>
        <w:trPr>
          <w:trHeight w:val="898"/>
        </w:trPr>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gridSpan w:val="6"/>
          </w:tcPr>
          <w:p>
            <w:pPr>
              <w:ind w:left="394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803"/>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spacing w:after="0"/>
              <w:rPr>
                <w:sz w:val="24"/>
                <w:szCs w:val="24"/>
                <w:color w:val="auto"/>
              </w:rPr>
            </w:pPr>
          </w:p>
        </w:tc>
        <w:tc>
          <w:tcPr>
            <w:tcW w:w="2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Subsidiaries of the Registrant</w:t>
            </w:r>
          </w:p>
        </w:tc>
        <w:tc>
          <w:tcPr>
            <w:tcW w:w="5860" w:type="dxa"/>
            <w:vAlign w:val="bottom"/>
            <w:gridSpan w:val="6"/>
          </w:tcPr>
          <w:p>
            <w:pPr>
              <w:spacing w:after="0"/>
              <w:rPr>
                <w:sz w:val="24"/>
                <w:szCs w:val="24"/>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20"/>
                <w:szCs w:val="20"/>
                <w:color w:val="auto"/>
              </w:rPr>
            </w:pPr>
          </w:p>
        </w:tc>
        <w:tc>
          <w:tcPr>
            <w:tcW w:w="2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w:t>
            </w:r>
          </w:p>
        </w:tc>
        <w:tc>
          <w:tcPr>
            <w:tcW w:w="5000" w:type="dxa"/>
            <w:vAlign w:val="bottom"/>
            <w:gridSpan w:val="5"/>
          </w:tcPr>
          <w:p>
            <w:pPr>
              <w:spacing w:after="0"/>
              <w:rPr>
                <w:sz w:val="20"/>
                <w:szCs w:val="20"/>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tcPr>
          <w:p>
            <w:pPr>
              <w:spacing w:after="0"/>
              <w:rPr>
                <w:sz w:val="20"/>
                <w:szCs w:val="20"/>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KPMG LLP</w:t>
            </w: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Pr>
          <w:p>
            <w:pPr>
              <w:spacing w:after="0"/>
              <w:rPr>
                <w:sz w:val="20"/>
                <w:szCs w:val="20"/>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Power of Attorney (included as part of the signature page to this report)</w:t>
            </w: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0"/>
                <w:szCs w:val="20"/>
                <w:color w:val="auto"/>
              </w:rPr>
            </w:pPr>
          </w:p>
        </w:tc>
        <w:tc>
          <w:tcPr>
            <w:tcW w:w="7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under the Securities Exchange Act of 1934</w:t>
            </w: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0"/>
                <w:szCs w:val="20"/>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0"/>
                <w:szCs w:val="20"/>
                <w:color w:val="auto"/>
              </w:rPr>
            </w:pPr>
          </w:p>
        </w:tc>
        <w:tc>
          <w:tcPr>
            <w:tcW w:w="79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60" w:type="dxa"/>
            <w:vAlign w:val="bottom"/>
          </w:tcPr>
          <w:p>
            <w:pPr>
              <w:spacing w:after="0"/>
              <w:rPr>
                <w:sz w:val="20"/>
                <w:szCs w:val="20"/>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20"/>
                <w:szCs w:val="20"/>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tcPr>
          <w:p>
            <w:pPr>
              <w:spacing w:after="0"/>
              <w:rPr>
                <w:sz w:val="20"/>
                <w:szCs w:val="20"/>
                <w:color w:val="auto"/>
              </w:rPr>
            </w:pPr>
          </w:p>
        </w:tc>
        <w:tc>
          <w:tcPr>
            <w:tcW w:w="52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Incentive Compensation Recoupment Policy</w:t>
            </w:r>
          </w:p>
        </w:tc>
        <w:tc>
          <w:tcPr>
            <w:tcW w:w="2780" w:type="dxa"/>
            <w:vAlign w:val="bottom"/>
            <w:gridSpan w:val="2"/>
          </w:tcPr>
          <w:p>
            <w:pPr>
              <w:spacing w:after="0"/>
              <w:rPr>
                <w:sz w:val="20"/>
                <w:szCs w:val="20"/>
                <w:color w:val="auto"/>
              </w:rPr>
            </w:pPr>
          </w:p>
        </w:tc>
      </w:tr>
      <w:tr>
        <w:trPr>
          <w:trHeight w:val="27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2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4780" w:type="dxa"/>
            <w:vAlign w:val="bottom"/>
            <w:gridSpan w:val="4"/>
          </w:tcPr>
          <w:p>
            <w:pPr>
              <w:spacing w:after="0"/>
              <w:rPr>
                <w:sz w:val="24"/>
                <w:szCs w:val="24"/>
                <w:color w:val="auto"/>
              </w:rPr>
            </w:pPr>
          </w:p>
        </w:tc>
      </w:tr>
      <w:tr>
        <w:trPr>
          <w:trHeight w:val="25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5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5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25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25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10.3 to 10.23 are management contracts or compensatory plans, contracts, or arrangements.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27" w:lineRule="exact"/>
        <w:rPr>
          <w:sz w:val="20"/>
          <w:szCs w:val="20"/>
          <w:color w:val="auto"/>
        </w:rPr>
      </w:pPr>
    </w:p>
    <w:p>
      <w:pPr>
        <w:ind w:left="568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/s/ Natalia Shuman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Natalia Shuman</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the undersigned directors and officers of Mistras Group, Inc., hereby severally constitute Natalia Shuman, Manuel N. Stamatakis, Edward J. Prajzner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power of attorney may only be revoked by a written document executed by the undersigned that expressly revokes this power by referring to the date and subject hereof.</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6" w:lineRule="exact"/>
        <w:rPr>
          <w:sz w:val="20"/>
          <w:szCs w:val="20"/>
          <w:color w:val="auto"/>
        </w:rPr>
      </w:pPr>
    </w:p>
    <w:p>
      <w:pPr>
        <w:ind w:left="1940"/>
        <w:spacing w:after="0"/>
        <w:tabs>
          <w:tab w:leader="none" w:pos="6620" w:val="left"/>
          <w:tab w:leader="none" w:pos="100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33655</wp:posOffset>
            </wp:positionV>
            <wp:extent cx="71062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Natalia Shuman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43180</wp:posOffset>
            </wp:positionV>
            <wp:extent cx="28117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Natalia Shuman</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Manuel N. Stamatakis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43180</wp:posOffset>
            </wp:positionV>
            <wp:extent cx="28117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Manuel N. Stamatakis</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28117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Nicholas DeBenedictis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117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Nicholas DeBenedictis</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J. Forese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117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J. Forese</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Richard H. Glanton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117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H. Glanton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Michelle J. Lohmeier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117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Michelle J. Lohmeier</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Charles P.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117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Charles P. Pizzi</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 xml:space="preserve">President and Chief Executive Officer </w:t>
      </w:r>
      <w:r>
        <w:rPr>
          <w:rFonts w:ascii="Times New Roman" w:cs="Times New Roman" w:eastAsia="Times New Roman" w:hAnsi="Times New Roman"/>
          <w:sz w:val="18"/>
          <w:szCs w:val="18"/>
          <w:i w:val="1"/>
          <w:iCs w:val="1"/>
          <w:color w:val="auto"/>
        </w:rPr>
        <w:t>(Principal Executive</w:t>
      </w:r>
      <w:r>
        <w:rPr>
          <w:sz w:val="20"/>
          <w:szCs w:val="20"/>
          <w:color w:val="auto"/>
        </w:rPr>
        <w:tab/>
      </w:r>
      <w:r>
        <w:rPr>
          <w:rFonts w:ascii="Times New Roman" w:cs="Times New Roman" w:eastAsia="Times New Roman" w:hAnsi="Times New Roman"/>
          <w:sz w:val="17"/>
          <w:szCs w:val="17"/>
          <w:color w:val="auto"/>
        </w:rPr>
        <w:t>March 11, 2025</w:t>
      </w:r>
    </w:p>
    <w:p>
      <w:pPr>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302"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Executive Chairman</w:t>
      </w:r>
      <w:r>
        <w:rPr>
          <w:sz w:val="20"/>
          <w:szCs w:val="20"/>
          <w:color w:val="auto"/>
        </w:rPr>
        <w:tab/>
      </w:r>
      <w:r>
        <w:rPr>
          <w:rFonts w:ascii="Times New Roman" w:cs="Times New Roman" w:eastAsia="Times New Roman" w:hAnsi="Times New Roman"/>
          <w:sz w:val="17"/>
          <w:szCs w:val="17"/>
          <w:color w:val="auto"/>
        </w:rPr>
        <w:t>March 11, 2025</w:t>
      </w:r>
    </w:p>
    <w:p>
      <w:pPr>
        <w:spacing w:after="0" w:line="200" w:lineRule="exact"/>
        <w:rPr>
          <w:sz w:val="20"/>
          <w:szCs w:val="20"/>
          <w:color w:val="auto"/>
        </w:rPr>
      </w:pPr>
    </w:p>
    <w:p>
      <w:pPr>
        <w:spacing w:after="0" w:line="351"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Senior Executive Vice President, and Chief Financial Officer</w:t>
      </w:r>
      <w:r>
        <w:rPr>
          <w:sz w:val="20"/>
          <w:szCs w:val="20"/>
          <w:color w:val="auto"/>
        </w:rPr>
        <w:tab/>
      </w:r>
      <w:r>
        <w:rPr>
          <w:rFonts w:ascii="Times New Roman" w:cs="Times New Roman" w:eastAsia="Times New Roman" w:hAnsi="Times New Roman"/>
          <w:sz w:val="17"/>
          <w:szCs w:val="17"/>
          <w:color w:val="auto"/>
        </w:rPr>
        <w:t>March 11, 2025</w:t>
      </w:r>
    </w:p>
    <w:p>
      <w:pPr>
        <w:spacing w:after="0" w:line="203" w:lineRule="auto"/>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313"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11, 2025</w:t>
      </w:r>
    </w:p>
    <w:p>
      <w:pPr>
        <w:spacing w:after="0" w:line="200" w:lineRule="exact"/>
        <w:rPr>
          <w:sz w:val="20"/>
          <w:szCs w:val="20"/>
          <w:color w:val="auto"/>
        </w:rPr>
      </w:pPr>
    </w:p>
    <w:p>
      <w:pPr>
        <w:spacing w:after="0" w:line="334"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11, 2025</w:t>
      </w:r>
    </w:p>
    <w:p>
      <w:pPr>
        <w:spacing w:after="0" w:line="200" w:lineRule="exact"/>
        <w:rPr>
          <w:sz w:val="20"/>
          <w:szCs w:val="20"/>
          <w:color w:val="auto"/>
        </w:rPr>
      </w:pPr>
    </w:p>
    <w:p>
      <w:pPr>
        <w:spacing w:after="0" w:line="307"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11, 2025</w:t>
      </w:r>
    </w:p>
    <w:p>
      <w:pPr>
        <w:spacing w:after="0" w:line="200" w:lineRule="exact"/>
        <w:rPr>
          <w:sz w:val="20"/>
          <w:szCs w:val="20"/>
          <w:color w:val="auto"/>
        </w:rPr>
      </w:pPr>
    </w:p>
    <w:p>
      <w:pPr>
        <w:spacing w:after="0" w:line="307"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11, 2025</w:t>
      </w:r>
    </w:p>
    <w:p>
      <w:pPr>
        <w:spacing w:after="0" w:line="200" w:lineRule="exact"/>
        <w:rPr>
          <w:sz w:val="20"/>
          <w:szCs w:val="20"/>
          <w:color w:val="auto"/>
        </w:rPr>
      </w:pPr>
    </w:p>
    <w:p>
      <w:pPr>
        <w:spacing w:after="0" w:line="334"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11, 2025</w:t>
      </w:r>
    </w:p>
    <w:p>
      <w:pPr>
        <w:sectPr>
          <w:pgSz w:w="11900" w:h="16838" w:orient="portrait"/>
          <w:cols w:equalWidth="0" w:num="2">
            <w:col w:w="3860" w:space="720"/>
            <w:col w:w="6620"/>
          </w:cols>
          <w:pgMar w:left="320" w:top="360" w:right="37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MISTRAS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SEVERANCE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Introduction</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Due to the competitive nature of the asset integrity business and the need for executive talent in the industry, executives of Mistras Group, Inc. (“</w:t>
      </w:r>
      <w:r>
        <w:rPr>
          <w:rFonts w:ascii="Times New Roman" w:cs="Times New Roman" w:eastAsia="Times New Roman" w:hAnsi="Times New Roman"/>
          <w:sz w:val="20"/>
          <w:szCs w:val="20"/>
          <w:u w:val="single" w:color="auto"/>
          <w:color w:val="auto"/>
        </w:rPr>
        <w:t>Mistras</w:t>
      </w:r>
      <w:r>
        <w:rPr>
          <w:rFonts w:ascii="Times New Roman" w:cs="Times New Roman" w:eastAsia="Times New Roman" w:hAnsi="Times New Roman"/>
          <w:sz w:val="20"/>
          <w:szCs w:val="20"/>
          <w:color w:val="auto"/>
        </w:rPr>
        <w:t>”) and its subsidiaries (Mistras and its subsidiaries are collectively referred to as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have been and will continue to be recruited by other companies. In order to attract and retain executive talent, the Compensation Committee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of the Board of Directors of Mistras, in consultation with management, has implemented this severance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This Plan is designed to provide its participants with some level of continued income and benefits upon the termination of their employment with the Company under certain circumstances.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Participants who receive the benefit of this Plan (“</w:t>
      </w:r>
      <w:r>
        <w:rPr>
          <w:rFonts w:ascii="Times New Roman" w:cs="Times New Roman" w:eastAsia="Times New Roman" w:hAnsi="Times New Roman"/>
          <w:sz w:val="20"/>
          <w:szCs w:val="20"/>
          <w:u w:val="single" w:color="auto"/>
          <w:color w:val="auto"/>
        </w:rPr>
        <w:t>Participants</w:t>
      </w:r>
      <w:r>
        <w:rPr>
          <w:rFonts w:ascii="Times New Roman" w:cs="Times New Roman" w:eastAsia="Times New Roman" w:hAnsi="Times New Roman"/>
          <w:sz w:val="20"/>
          <w:szCs w:val="20"/>
          <w:color w:val="auto"/>
        </w:rPr>
        <w:t>”) are U.S. based full time employees of the Company who are executive officers of the Company who have been approved by name by the Board or the Compensation Committee to be eligible for this Severance Plan. In addition, the CEO with the concurrence of the Compensation Committee may designate by name specific executive vice presidents or senior vice presidents who are not executive officers to be Participants of this Plan.</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Once an executive officer is designated as a Participant, he or she will continue to participate in this Plan until his or her removal by the Board or Compensation Committee in their discretion. Once a non-executive officer is designated as a Participant, he or she will continue to participate in this Plan until the earlier of (i) his or her removal by the Board or Compensation Committee in their discretion, or (ii) the end of the calendar year in which his or her participation in this Plan (or the most recent renewal by the Board or Compensation Committee of his or her participation in this Plan) became effective. The Company reserves the right to add and remove Participants at will and participation in this Plan for any period will not confer upon any employee the right to continue to participate in this Plan.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any Participant is party to an individual agreement with the Company that provides for severance benefits in the event of termination of employment with the Company and does not expressly contemplate participation in this Plan, the individual will not be eligible to participate in this Plan.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Circumstance for Severance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Severance benefits are payable to a Participant pursuant to this Plan in only the following circumstances: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Termination without Cause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Participant’s employment with the Company is terminated by the Company without Cause, with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meaning (i) the Participant’s commission of acts involving fraud, dishonesty, unauthorized disclosure of Confidential Information, the commission of a felony or other crime involving moral turpitude, or a violation of material Company policies; (ii) direct acts constituting a breach of the Participant’s duty of loyalty to the Company; (iii) the Participant’s refusal or failure (other than by reason of serious physical or mental illness, injury, or medical condition) to perform the Participant’s job, duties and responsibilities, including, but not limited to, any duties or responsibilities reasonably assigned to the Participant by the Board or CEO, if such refusal or failure is not remedied within 30 days after the</w:t>
      </w:r>
    </w:p>
    <w:p>
      <w:pPr>
        <w:sectPr>
          <w:pgSz w:w="11900" w:h="16838" w:orient="portrait"/>
          <w:cols w:equalWidth="0" w:num="1">
            <w:col w:w="11240"/>
          </w:cols>
          <w:pgMar w:left="320" w:top="1409" w:right="339" w:bottom="1440" w:gutter="0" w:footer="0" w:header="0"/>
        </w:sectPr>
      </w:pPr>
    </w:p>
    <w:bookmarkStart w:id="89" w:name="page90"/>
    <w:bookmarkEnd w:id="89"/>
    <w:p>
      <w:pPr>
        <w:jc w:val="both"/>
        <w:spacing w:after="0" w:line="261" w:lineRule="auto"/>
        <w:rPr>
          <w:sz w:val="20"/>
          <w:szCs w:val="20"/>
          <w:color w:val="auto"/>
        </w:rPr>
      </w:pPr>
      <w:r>
        <w:rPr>
          <w:rFonts w:ascii="Times New Roman" w:cs="Times New Roman" w:eastAsia="Times New Roman" w:hAnsi="Times New Roman"/>
          <w:sz w:val="20"/>
          <w:szCs w:val="20"/>
          <w:color w:val="auto"/>
        </w:rPr>
        <w:t>Participant receives written notice thereof from an executive officer or the Board, provided if the Participant commits the same failure or refusal, no notice or opportunity to remedy need be provided to Participant; (iv) material underperformance by Participant, as reflected in two written performance reviews not less than 1 month apart.</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Termination for Good Reason</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Participant’s employment with the Company is terminated by the Participant for “</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with “Good Reason” being (i) a 10% reduction in the base salary or target incentive compensation opportunity as in effect immediately prior to the reduction (excluding, however, the impact of across-the-board salary reductions similarly affecting other senior executives of the Company); (ii) a Company-mandated relocation of Participant’s principal place of employment to a location that is more than 50 miles from Participant’s normal Company work location if the Participant periodically works in a Mistras work location (but, for avoidance of doubt, this clause (ii) will not be triggered by a Company decision to reduce or eliminate remote or hybrid work arrangements); provided, however, that no event will constitute Good Reason unless (x) Participant provides the Company with written objection to such event within 30 days after the initial occurrence thereof</w:t>
      </w:r>
      <w:r>
        <w:rPr>
          <w:rFonts w:ascii="Times New Roman" w:cs="Times New Roman" w:eastAsia="Times New Roman" w:hAnsi="Times New Roman"/>
          <w:sz w:val="19"/>
          <w:szCs w:val="19"/>
          <w:color w:val="464646"/>
        </w:rPr>
        <w:t>,</w:t>
      </w:r>
    </w:p>
    <w:p>
      <w:pPr>
        <w:spacing w:after="0" w:line="1" w:lineRule="exact"/>
        <w:rPr>
          <w:sz w:val="20"/>
          <w:szCs w:val="20"/>
          <w:color w:val="auto"/>
        </w:rPr>
      </w:pPr>
    </w:p>
    <w:p>
      <w:pPr>
        <w:ind w:firstLine="8"/>
        <w:spacing w:after="0" w:line="253" w:lineRule="auto"/>
        <w:tabs>
          <w:tab w:leader="none" w:pos="31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event is not reversed or corrected </w:t>
      </w:r>
      <w:r>
        <w:rPr>
          <w:rFonts w:ascii="Times New Roman" w:cs="Times New Roman" w:eastAsia="Times New Roman" w:hAnsi="Times New Roman"/>
          <w:sz w:val="20"/>
          <w:szCs w:val="20"/>
          <w:color w:val="161515"/>
        </w:rPr>
        <w:t>by</w:t>
      </w:r>
      <w:r>
        <w:rPr>
          <w:rFonts w:ascii="Times New Roman" w:cs="Times New Roman" w:eastAsia="Times New Roman" w:hAnsi="Times New Roman"/>
          <w:sz w:val="20"/>
          <w:szCs w:val="20"/>
          <w:color w:val="auto"/>
        </w:rPr>
        <w:t xml:space="preserve"> the Company within 30 days of its receipt of such written objection, and (z) Participant separates from service within 30 days following the expiration of that cure period.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does not apply to the termination of employment under any other circumstances or for any reason except as expressly enumerated above. This Plan does not apply to the termination of a Participant’s employment due to the Participant’s death or disability. Disability means the Participant cannot perform, with reasonable accommodations, the essential and customary functions and responsibilities of his or her position for 150 consecutive calendar days or 150 or more calendar days in any 365 consecutive calendar day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to Receive Severance</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order to receive any benefits under this Plan, a Participant must sign a release agreement in a form prescribed by the Company. The release agreement will provide the Company, its affiliates, and all officers, directors, employees and other representatives of the Company and its affiliates with a full release of any claims the Participant may have against them. In addition, the release agreement will have non-compete, non-solicitation and non-interference restrictions as determined by the Company during the period a Participant is receiving severance payments (the “</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confidential requirements, an acknowledgement of the Company’s ownership of intellectual property, non-disparagement requirements and a requirement to return all Company property.</w:t>
      </w: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order for the release requirement to be satisfied, the Participant must sign the release agreement and return it to the Company, and the release agreement must become irrevocable, within 30 days after the Participant’s termination of employment.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Benefits</w:t>
      </w:r>
    </w:p>
    <w:p>
      <w:pPr>
        <w:spacing w:after="0" w:line="260" w:lineRule="exact"/>
        <w:rPr>
          <w:sz w:val="20"/>
          <w:szCs w:val="20"/>
          <w:color w:val="auto"/>
        </w:rPr>
      </w:pPr>
    </w:p>
    <w:p>
      <w:pPr>
        <w:ind w:left="620" w:hanging="369"/>
        <w:spacing w:after="0"/>
        <w:tabs>
          <w:tab w:leader="none" w:pos="6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90" w:name="page91"/>
    <w:bookmarkEnd w:id="90"/>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If a Participant’s employment is terminated by the Company without Cause or a Participant terminates employment for Good Reason, but not within 90 days before or one year after a Change in Control, as defined below, the following shall be the paid to the Participant: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12 months base salary, payable in equal installments at customary payroll intervals over 12 months.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b. pro rata portion of the annual non-equity incentive plan (as that term is defined in Item 402(a)(6)(iii) of Regulation S-K and, for avoidance of doubt, not including any discretionary bonus) award earned for the year, if any, in which Participant is terminated based upon actual Company performance.</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 The annual non-equity incentive plan award earned for the most recently completed fiscal year shall be payable as if a Participant was still employed with the Company at time that annual non-equity incentive awards are paid, should termination occur after the end of the fiscal year and before payment of such awards.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Change in Control</w:t>
      </w:r>
    </w:p>
    <w:p>
      <w:pPr>
        <w:spacing w:after="0" w:line="25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a Participant’s employment is terminated by the Company without Cause or a Participant terminates employment for Good Reason, in either case within 90 days before or one year after a Change in Control, as defined below, the following shall be the paid to the Participant: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 1.5 times the sum of Participant’s (A) annual base salary, plus (B) Participant’s target annual non-equity incentive plan opportunity, all payable in equal installments at customary payroll intervals over 18 months.</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b. The annual non-equity incentive plan award earned for the most recently completed fiscal year shall be payable as if a Participant was still employed with the Company at time that annual non-equity incentive awards are paid, should termination occur after the end of the fiscal year and before payment of such awards.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purposes of this Plan, a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have the meaning set forth in the Mistras Group, Inc. Amended and Restated 2016 Long-Term Incentive Plan (the “</w:t>
      </w:r>
      <w:r>
        <w:rPr>
          <w:rFonts w:ascii="Times New Roman" w:cs="Times New Roman" w:eastAsia="Times New Roman" w:hAnsi="Times New Roman"/>
          <w:sz w:val="20"/>
          <w:szCs w:val="20"/>
          <w:u w:val="single" w:color="auto"/>
          <w:color w:val="auto"/>
        </w:rPr>
        <w:t>LTIP</w:t>
      </w:r>
      <w:r>
        <w:rPr>
          <w:rFonts w:ascii="Times New Roman" w:cs="Times New Roman" w:eastAsia="Times New Roman" w:hAnsi="Times New Roman"/>
          <w:sz w:val="20"/>
          <w:szCs w:val="20"/>
          <w:color w:val="auto"/>
        </w:rPr>
        <w:t>”) , as the LTIP may be amended, modified, or restated from time to time, and any successor plan. If the LTIP shall no longer be in effect and there is no successor plan, the definition of Change of Control in the final version of the LTIP in effect shall be the term used in this Plan.</w:t>
      </w:r>
    </w:p>
    <w:p>
      <w:pPr>
        <w:spacing w:after="0" w:line="19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0"/>
          <w:szCs w:val="20"/>
          <w:u w:val="single" w:color="auto"/>
          <w:color w:val="auto"/>
        </w:rPr>
        <w:t>Timing of Payments</w:t>
      </w:r>
      <w:r>
        <w:rPr>
          <w:rFonts w:ascii="Times New Roman" w:cs="Times New Roman" w:eastAsia="Times New Roman" w:hAnsi="Times New Roman"/>
          <w:sz w:val="20"/>
          <w:szCs w:val="20"/>
          <w:color w:val="auto"/>
        </w:rPr>
        <w:t>. Notwithstanding anything herein to the contrary, no benefit or payment hereunder will be provided or paid until Participant has a “separation from service” from the Company within the meaning of Section 409A of the Internal Revenue Code (“</w:t>
      </w:r>
      <w:r>
        <w:rPr>
          <w:rFonts w:ascii="Times New Roman" w:cs="Times New Roman" w:eastAsia="Times New Roman" w:hAnsi="Times New Roman"/>
          <w:sz w:val="20"/>
          <w:szCs w:val="20"/>
          <w:u w:val="single" w:color="auto"/>
          <w:color w:val="auto"/>
        </w:rPr>
        <w:t>Section</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u w:val="single" w:color="auto"/>
          <w:color w:val="auto"/>
        </w:rPr>
        <w:t>409A</w:t>
      </w:r>
      <w:r>
        <w:rPr>
          <w:rFonts w:ascii="Times New Roman" w:cs="Times New Roman" w:eastAsia="Times New Roman" w:hAnsi="Times New Roman"/>
          <w:sz w:val="20"/>
          <w:szCs w:val="20"/>
          <w:color w:val="auto"/>
        </w:rPr>
        <w:t>”) and references herein to termination of employment will be construed to mean separation from service. Except as otherwise provided below, cash severance payments hereunder will be paid (or commence to be paid, as applicable) on the first regularly scheduled payroll date occurring at least five business days after the release agreement becomes irrevocable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provided that in the case of cash severance payable at customary payroll intervals, the initial payment will include any amounts that would otherwise have been payable since the terminate date. Annual incentive payments hereunder based on actual performance will be paid on the later of the date that annual incentive payments are made to active employees in respect of the same year or the Settlement Date, but in no event later than the time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91" w:name="page92"/>
    <w:bookmarkEnd w:id="91"/>
    <w:p>
      <w:pPr>
        <w:jc w:val="both"/>
        <w:spacing w:after="0" w:line="253" w:lineRule="auto"/>
        <w:rPr>
          <w:sz w:val="20"/>
          <w:szCs w:val="20"/>
          <w:color w:val="auto"/>
        </w:rPr>
      </w:pPr>
      <w:r>
        <w:rPr>
          <w:rFonts w:ascii="Times New Roman" w:cs="Times New Roman" w:eastAsia="Times New Roman" w:hAnsi="Times New Roman"/>
          <w:sz w:val="20"/>
          <w:szCs w:val="20"/>
          <w:color w:val="auto"/>
        </w:rPr>
        <w:t>to satisfy the exemption described in Treas. Reg. § 1.409A-1(b)(4). Each payment shall be treated as a separate payment for purposes of Section 409A. If a Participant has the ability to enable payments hereunder to commence in the year employment is terminated or the following year, based upon the amount of time the Participant takes to return the signed release, payments will not commence until the year following termination of employment. If a Participant who is a specified employee (within the meaning of Section 409A) is entitled to payment pursuant to this Plan of deferred compensation subject to Section 409A prior to six months after such Participant’s termination of employment, such payments will be deferred and paid in a lump sum after the end of such six-month period. Any such delay shall not affect the timing of other payments under this Plan.</w:t>
      </w:r>
    </w:p>
    <w:p>
      <w:pPr>
        <w:spacing w:after="0" w:line="20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u w:val="single" w:color="auto"/>
          <w:color w:val="auto"/>
        </w:rPr>
        <w:t>Severance not Earnings</w:t>
      </w:r>
      <w:r>
        <w:rPr>
          <w:rFonts w:ascii="Times New Roman" w:cs="Times New Roman" w:eastAsia="Times New Roman" w:hAnsi="Times New Roman"/>
          <w:sz w:val="20"/>
          <w:szCs w:val="20"/>
          <w:color w:val="auto"/>
        </w:rPr>
        <w:t xml:space="preserve">. Amounts payable under this Plan will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be included as earnings under or eligible for contribution to any other Company plan, such as the Mistras 401(k) Savings Plan.</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For purposes calculating benefits under this Plan, base salary shall mean the highest annualized rate of base salary in effect for the Participant during the 12 month period preceding termination of employment.</w:t>
      </w:r>
    </w:p>
    <w:p>
      <w:pPr>
        <w:spacing w:after="0" w:line="18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Medical Coverage</w:t>
      </w:r>
      <w:r>
        <w:rPr>
          <w:rFonts w:ascii="Times New Roman" w:cs="Times New Roman" w:eastAsia="Times New Roman" w:hAnsi="Times New Roman"/>
          <w:sz w:val="20"/>
          <w:szCs w:val="20"/>
          <w:color w:val="auto"/>
        </w:rPr>
        <w:t>. If a Participant, immediately before the termination of his or her employment, participates in a Company group health plan, and during the Restricted Period the Participant continues participating in such plan by electing continuation of healthcare benefits under the Consolidated Omnibus Budget Reconciliation Act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the Company will provide COBRA continuation coverage to the employee at the Company’s expense during the Restricted Period for amounts over the active employee contribution level amount, if and to the extent the Participant shall be entitled and has elected to receive COBRA continuation coverage. If Participant obtains employment during the Restricted Period and becomes eligible to participate in the subsequent employer’s health plans, the Company shall no longer provide any subsidy of COBRA benefits. The Company may impute income to Participant in respect of such COBRA subsidy to the extent the Company determines that such imputation is necessary to mitigate the risk of penalties and/or taxes to Participant or the Company, or to otherwise comply with applicable law.</w:t>
      </w:r>
    </w:p>
    <w:p>
      <w:pPr>
        <w:spacing w:after="0" w:line="2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auto"/>
        </w:rPr>
        <w:t>Other Benefits</w:t>
      </w:r>
      <w:r>
        <w:rPr>
          <w:rFonts w:ascii="Times New Roman" w:cs="Times New Roman" w:eastAsia="Times New Roman" w:hAnsi="Times New Roman"/>
          <w:sz w:val="20"/>
          <w:szCs w:val="20"/>
          <w:color w:val="auto"/>
        </w:rPr>
        <w:t>. Benefits under all Company benefit plans and programs will terminate in accordance with the terms of those plans as they are normally applied to employees who resign or are terminated from their employment with the Company.</w:t>
      </w:r>
    </w:p>
    <w:p>
      <w:pPr>
        <w:spacing w:after="0" w:line="18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If a Participant’s employment is terminated by the Company without Cause or the Participant terminates employment for Good Reason, not in connection with a Change in Control, then equity awards will be treated as follows:</w:t>
      </w:r>
    </w:p>
    <w:p>
      <w:pPr>
        <w:spacing w:after="0" w:line="173" w:lineRule="exact"/>
        <w:rPr>
          <w:sz w:val="20"/>
          <w:szCs w:val="20"/>
          <w:color w:val="auto"/>
        </w:rPr>
      </w:pPr>
    </w:p>
    <w:p>
      <w:pPr>
        <w:jc w:val="both"/>
        <w:ind w:left="400"/>
        <w:spacing w:after="0" w:line="268" w:lineRule="auto"/>
        <w:rPr>
          <w:sz w:val="20"/>
          <w:szCs w:val="20"/>
          <w:color w:val="auto"/>
        </w:rPr>
      </w:pPr>
      <w:r>
        <w:rPr>
          <w:rFonts w:ascii="Times New Roman" w:cs="Times New Roman" w:eastAsia="Times New Roman" w:hAnsi="Times New Roman"/>
          <w:sz w:val="20"/>
          <w:szCs w:val="20"/>
          <w:color w:val="auto"/>
        </w:rPr>
        <w:t>During the Restricted Period (so long as the Participant is complying with the confidentiality requirements and the non-compete and non-solicitation restrictions in his or her release agreement), all stock options will continue to vest. Any vested stock options shall expire 90 days after the end of the Restricted Period.</w:t>
      </w:r>
    </w:p>
    <w:p>
      <w:pPr>
        <w:spacing w:after="0" w:line="188" w:lineRule="exact"/>
        <w:rPr>
          <w:sz w:val="20"/>
          <w:szCs w:val="20"/>
          <w:color w:val="auto"/>
        </w:rPr>
      </w:pPr>
    </w:p>
    <w:p>
      <w:pPr>
        <w:jc w:val="both"/>
        <w:ind w:left="400"/>
        <w:spacing w:after="0" w:line="283" w:lineRule="auto"/>
        <w:rPr>
          <w:sz w:val="20"/>
          <w:szCs w:val="20"/>
          <w:color w:val="auto"/>
        </w:rPr>
      </w:pPr>
      <w:r>
        <w:rPr>
          <w:rFonts w:ascii="Times New Roman" w:cs="Times New Roman" w:eastAsia="Times New Roman" w:hAnsi="Times New Roman"/>
          <w:sz w:val="20"/>
          <w:szCs w:val="20"/>
          <w:color w:val="auto"/>
        </w:rPr>
        <w:t>Performance based RSUs which have been earned and other time-vesting RSUs that (in either case) are scheduled to vest during the Restricted Period will cease to be subject to a service-condition,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92" w:name="page93"/>
    <w:bookmarkEnd w:id="92"/>
    <w:p>
      <w:pPr>
        <w:jc w:val="both"/>
        <w:ind w:left="400"/>
        <w:spacing w:after="0" w:line="252" w:lineRule="auto"/>
        <w:rPr>
          <w:sz w:val="20"/>
          <w:szCs w:val="20"/>
          <w:color w:val="auto"/>
        </w:rPr>
      </w:pPr>
      <w:r>
        <w:rPr>
          <w:rFonts w:ascii="Times New Roman" w:cs="Times New Roman" w:eastAsia="Times New Roman" w:hAnsi="Times New Roman"/>
          <w:sz w:val="20"/>
          <w:szCs w:val="20"/>
          <w:color w:val="auto"/>
        </w:rPr>
        <w:t>will remain subject to forfeiture if the Participant fails to comply with the confidentiality requirements and the non-compete and non-solicitation restrictions in his or her release agreement during the Restricted Period. Such awards will continue to be settled in accordance with their terms and the applicable requirements of Section 409A. Therefore, to the extent that such an award is settled prior to the end of the Restricted Period (e.g., because, in the case of an award exempt from Section 409A, settlement occurs promptly following satisfaction of the service condition, or in the case of an award subject to Section 409A, because the applicable payment event occurs prior to the end of the Restricted Period), the shares issued in respect of the award (less any shares withheld in satisfaction of tax withholding requirements) will be subjected to a stop-transfer order for the remainder of the Restricted Period and will be forfeited if the Participant fails to comply with the confidentiality requirements and the non-compete and non-solicitation restrictions in his or her release agreement during the Restricted Period.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effect of involuntary termination following a Change in Control on equity-based awards will be determined in accordance with the terms of the applicable equity plan and award agreements, provided that any vesting acceleration or other enhancement will be subject to release agreement requirements described in this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Sale of Assets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Notwithstanding any other provision of this Plan, a Participant will not be eligible for severance benefits under this Plan if, in connection with a sale of assets of the Company, the Participant’s employment is terminated and he or she is offered employment by the buyer of assets (or an affiliate thereof) on substantially comparable terms, whether or not the Participant accepts such offer of employment.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Administration</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Committee shall be the Plan Administrator of this Plan (the “</w:t>
      </w:r>
      <w:r>
        <w:rPr>
          <w:rFonts w:ascii="Times New Roman" w:cs="Times New Roman" w:eastAsia="Times New Roman" w:hAnsi="Times New Roman"/>
          <w:sz w:val="20"/>
          <w:szCs w:val="20"/>
          <w:u w:val="single" w:color="auto"/>
          <w:color w:val="auto"/>
        </w:rPr>
        <w:t>Plan Administrator</w:t>
      </w:r>
      <w:r>
        <w:rPr>
          <w:rFonts w:ascii="Times New Roman" w:cs="Times New Roman" w:eastAsia="Times New Roman" w:hAnsi="Times New Roman"/>
          <w:sz w:val="20"/>
          <w:szCs w:val="20"/>
          <w:color w:val="auto"/>
        </w:rPr>
        <w:t>”). The Committee shall make, in its sole discretion, all determinations arising in the administration of the Plan (including all determinations regarding the interpretation of this Plan and the entitlement to benefits hereunder). All such determinations shall be conclusive and binding on all persons, except as otherwise provided by law.</w:t>
      </w:r>
    </w:p>
    <w:p>
      <w:pPr>
        <w:spacing w:after="0" w:line="20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Plan is an unfunded “employee welfare benefit plan,” as defined in Section 3(1) of ERISA, and is maintained primarily for the purpose of providing severance benefits to a select group of management or highly compensated employees, as described in 29 CFR § 2520.104-24.</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Plan is intended to comply with or be exempt from Section 409A, and shall be interpreted strictly in accordance with such foregoing intent. Nonetheless, the Company does not guaranty the tax treatment of any benefit payable hereunder.</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 will be construed, administered, and regulated in accordance with the laws of the State of New Jersey, except to the extent preempted by federal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Claims Procedure</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 person who believes he or she is entitled to any payment under the Plan may submit a claim in writing to the Plan Administrator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70" w:lineRule="auto"/>
        <w:rPr>
          <w:sz w:val="20"/>
          <w:szCs w:val="20"/>
          <w:color w:val="auto"/>
        </w:rPr>
      </w:pPr>
      <w:r>
        <w:rPr>
          <w:rFonts w:ascii="Times New Roman" w:cs="Times New Roman" w:eastAsia="Times New Roman" w:hAnsi="Times New Roman"/>
          <w:sz w:val="19"/>
          <w:szCs w:val="19"/>
          <w:color w:val="auto"/>
        </w:rPr>
        <w:t>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date by which the Plan Administrator expects to render its decision on the claim.</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the claimant’s claim is denied, the claimant (or his or her authorized representative) may apply in writing to the Plan Administrator for a review of the decision denying the claim. Review must be requested within 60 days following the date the claimant received the written notice of their claim denial or else the claimant loses the right to review. The Plan Administrator will provide written notice of its decision on review within 60 days after it receives a review request. If additional time (up to 60 days) is needed to review the request, the claimant (or representative) will be given written notice of the reason for the delay. This notice of extension will indicate the special circumstances requiring the extension of time and the date by which the Plan Administrator expects to render its decision. If the claim is denied (in full or in part), the claimant will be provided a written notice explaining the specific reasons for the denial and referring to the provisions of the Plan on which the denial is based.</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exhaustion of the above-described claims procedure is mandatory for resolving every claim and dispute arising under the Plan. Following exhaustion of the above-described claims procedure, any remaining dispute arising under this Plan will be submitted to arbitration in Princeton Junction, New Jersey under the National Rules for the Resolution of Employment Disputes then in effect of the American Arbitration Association. Any award or finding will be confidential. Each Participant agrees by continuing in his or her position which makes the Participant eligible to be a Participant, that arbitration will be the sole means of resolving disputes remaining under the Plan and waives, on behalf of the Participant and any of his or her beneficiaries, any right to litigate any such dispute in a court of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&amp; Termination</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may be amended or terminated by the Company at any time for any reason, with or without notice. The Company reserves the right, by action of the Committee, or by any duly appointed successor committee or authorized delegate of the Board, to amend, modify, suspend or terminate this Plan and to disqualify employees from eligibility under the Plan at any time for any reason or for no reason with or without notice. Any such action is not contingent upon the financial condition of the Company. This Plan supersedes any other severance plan that was adopted prior to the adoption of this Plan.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the foregoing or any other provision of this Plan, upon the occurrence of a Change in Control and for the 24 month period thereafter: (i) Participants in the Plan immediately prior to the Change in Control will continue to participate in the Plan (without the need for renewal and without the possibility of removal during that period); and (ii) this Plan may not be terminated or amended in any manner that would be adverse to a Participant without his or her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b w:val="1"/>
          <w:bCs w:val="1"/>
          <w:color w:val="auto"/>
        </w:rPr>
        <w:t>MISTRAS GROUP, INC.</w:t>
      </w: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15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All directors, officers and employees (“</w:t>
      </w:r>
      <w:r>
        <w:rPr>
          <w:rFonts w:ascii="Times New Roman" w:cs="Times New Roman" w:eastAsia="Times New Roman" w:hAnsi="Times New Roman"/>
          <w:sz w:val="22"/>
          <w:szCs w:val="22"/>
          <w:b w:val="1"/>
          <w:bCs w:val="1"/>
          <w:u w:val="single" w:color="auto"/>
          <w:color w:val="auto"/>
        </w:rPr>
        <w:t>Insiders</w:t>
      </w:r>
      <w:r>
        <w:rPr>
          <w:rFonts w:ascii="Times New Roman" w:cs="Times New Roman" w:eastAsia="Times New Roman" w:hAnsi="Times New Roman"/>
          <w:sz w:val="22"/>
          <w:szCs w:val="22"/>
          <w:color w:val="auto"/>
        </w:rPr>
        <w:t>”) of Mistras Group, Inc. and its subsidiaries (collectively,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are subject to the provisions of this Insider Trading Compliance Policy (the “</w:t>
      </w:r>
      <w:r>
        <w:rPr>
          <w:rFonts w:ascii="Times New Roman" w:cs="Times New Roman" w:eastAsia="Times New Roman" w:hAnsi="Times New Roman"/>
          <w:sz w:val="22"/>
          <w:szCs w:val="22"/>
          <w:b w:val="1"/>
          <w:bCs w:val="1"/>
          <w:u w:val="single" w:color="auto"/>
          <w:color w:val="auto"/>
        </w:rPr>
        <w:t>Policy</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Any questions regarding this Policy and related procedures should be directed to Michael Keefe, Executive Vice President, General Counsel and Secretary of the Company (609-716-4128; michael.keefe@mistrasgroup.com).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Trading on Inside Information Prohibited</w:t>
      </w:r>
    </w:p>
    <w:p>
      <w:pPr>
        <w:spacing w:after="0" w:line="18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The Company’s common stock is traded on the New York Stock Exchange under the symbol “MG”. It is a serious violation of federal and state securities laws, for any person to buy or sell common shares and other equity securities of the Company (collectively, “</w:t>
      </w:r>
      <w:r>
        <w:rPr>
          <w:rFonts w:ascii="Times New Roman" w:cs="Times New Roman" w:eastAsia="Times New Roman" w:hAnsi="Times New Roman"/>
          <w:sz w:val="22"/>
          <w:szCs w:val="22"/>
          <w:b w:val="1"/>
          <w:bCs w:val="1"/>
          <w:u w:val="single" w:color="auto"/>
          <w:color w:val="auto"/>
        </w:rPr>
        <w:t>Equity Securities</w:t>
      </w:r>
      <w:r>
        <w:rPr>
          <w:rFonts w:ascii="Times New Roman" w:cs="Times New Roman" w:eastAsia="Times New Roman" w:hAnsi="Times New Roman"/>
          <w:sz w:val="22"/>
          <w:szCs w:val="22"/>
          <w:color w:val="auto"/>
        </w:rPr>
        <w:t>”) or any other securities of the Company (together with the Equity Securities,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Securities</w:t>
      </w:r>
      <w:r>
        <w:rPr>
          <w:rFonts w:ascii="Times New Roman" w:cs="Times New Roman" w:eastAsia="Times New Roman" w:hAnsi="Times New Roman"/>
          <w:sz w:val="22"/>
          <w:szCs w:val="22"/>
          <w:color w:val="auto"/>
        </w:rPr>
        <w:t>”) while in possession of material non-public information relating to the Company or to engage in any other action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 advantage of such information or to pass it on to others. This prohibition also applies to information relating to any other company, including customers, vendors, managers, partners or investments obtained in the course of employment with the Company.</w:t>
      </w:r>
    </w:p>
    <w:p>
      <w:pPr>
        <w:spacing w:after="0" w:line="15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Transactions that may be necessary or justifiable for independent reasons (such as the need to raise money for a personal emergency) are </w:t>
      </w:r>
      <w:r>
        <w:rPr>
          <w:rFonts w:ascii="Times New Roman" w:cs="Times New Roman" w:eastAsia="Times New Roman" w:hAnsi="Times New Roman"/>
          <w:sz w:val="22"/>
          <w:szCs w:val="22"/>
          <w:b w:val="1"/>
          <w:bCs w:val="1"/>
          <w:u w:val="single" w:color="auto"/>
          <w:color w:val="auto"/>
        </w:rPr>
        <w:t>no exception</w:t>
      </w:r>
      <w:r>
        <w:rPr>
          <w:rFonts w:ascii="Times New Roman" w:cs="Times New Roman" w:eastAsia="Times New Roman" w:hAnsi="Times New Roman"/>
          <w:sz w:val="22"/>
          <w:szCs w:val="22"/>
          <w:color w:val="auto"/>
        </w:rPr>
        <w:t xml:space="preserve"> to this Policy. In addition, the federal and state securities laws and this Policy apply regardless of the number of shares or the dollar amount of the transaction. The appearance of any improper transactions should also be avoided to preserve the Company’s reputation for adhering to the highest standards of ethical conduct.</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Insiders are prohibited from purchasing or selling, or offering to purchase or sell, Company securities while in possession of non-public material information, or from engaging in any of the other activities addressed in this Policy.</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Result of Violation of Policy. </w:t>
      </w:r>
      <w:r>
        <w:rPr>
          <w:rFonts w:ascii="Times New Roman" w:cs="Times New Roman" w:eastAsia="Times New Roman" w:hAnsi="Times New Roman"/>
          <w:sz w:val="22"/>
          <w:szCs w:val="22"/>
          <w:color w:val="auto"/>
        </w:rPr>
        <w:t>Employees who violate this Policy may be subject to disciplinary action by the Company, up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including dismissal for cause. Any exceptions to the Policy, if permitted, may only be granted by the Clearance Officer and must be provided before any activity contrary to the above requirements takes place, or if inadvertent, immediately upon the employee learning of such violation.</w:t>
      </w:r>
    </w:p>
    <w:p>
      <w:pPr>
        <w:spacing w:after="0" w:line="148" w:lineRule="exact"/>
        <w:rPr>
          <w:sz w:val="20"/>
          <w:szCs w:val="20"/>
          <w:color w:val="auto"/>
        </w:rPr>
      </w:pPr>
    </w:p>
    <w:p>
      <w:pPr>
        <w:jc w:val="both"/>
        <w:ind w:firstLine="656"/>
        <w:spacing w:after="0" w:line="227" w:lineRule="auto"/>
        <w:tabs>
          <w:tab w:leader="none" w:pos="12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Material Information</w:t>
      </w:r>
      <w:r>
        <w:rPr>
          <w:rFonts w:ascii="Times New Roman" w:cs="Times New Roman" w:eastAsia="Times New Roman" w:hAnsi="Times New Roman"/>
          <w:sz w:val="22"/>
          <w:szCs w:val="22"/>
          <w:color w:val="auto"/>
        </w:rPr>
        <w:t>. Material information is any information that a reasonable investor would likely consider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important in a decision to buy, hold or sell Company Securities — in short, </w:t>
      </w:r>
      <w:r>
        <w:rPr>
          <w:rFonts w:ascii="Times New Roman" w:cs="Times New Roman" w:eastAsia="Times New Roman" w:hAnsi="Times New Roman"/>
          <w:sz w:val="22"/>
          <w:szCs w:val="22"/>
          <w:b w:val="1"/>
          <w:bCs w:val="1"/>
          <w:color w:val="auto"/>
        </w:rPr>
        <w:t>any information which could reasonably affect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price, either favorably or unfavorably, of Company Securities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While it is not possible to provide an exhaustive list, the following are some of the types of information that would ordinarily be considered material:</w:t>
      </w:r>
    </w:p>
    <w:p>
      <w:pPr>
        <w:spacing w:after="0" w:line="150" w:lineRule="exact"/>
        <w:rPr>
          <w:sz w:val="20"/>
          <w:szCs w:val="20"/>
          <w:color w:val="auto"/>
        </w:rPr>
      </w:pPr>
    </w:p>
    <w:p>
      <w:pPr>
        <w:ind w:right="20" w:firstLine="656"/>
        <w:spacing w:after="0" w:line="236" w:lineRule="auto"/>
        <w:tabs>
          <w:tab w:leader="none" w:pos="9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corporate acquisition, disposition or other significant business combination, or a takeover bid,</w:t>
      </w:r>
    </w:p>
    <w:p>
      <w:pPr>
        <w:spacing w:after="0" w:line="15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especially quarterly and year-end earnings, and significant changes in financial results,</w:t>
      </w:r>
    </w:p>
    <w:p>
      <w:pPr>
        <w:spacing w:after="0" w:line="17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corporate strategy or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[Revised December 2021]</w:t>
      </w:r>
    </w:p>
    <w:p>
      <w:pPr>
        <w:sectPr>
          <w:pgSz w:w="11900" w:h="16838" w:orient="portrait"/>
          <w:cols w:equalWidth="0" w:num="1">
            <w:col w:w="11240"/>
          </w:cols>
          <w:pgMar w:left="320" w:top="1382" w:right="339" w:bottom="1440" w:gutter="0" w:footer="0" w:header="0"/>
        </w:sectPr>
      </w:pPr>
    </w:p>
    <w:bookmarkStart w:id="95" w:name="page96"/>
    <w:bookmarkEnd w:id="95"/>
    <w:p>
      <w:pPr>
        <w:spacing w:after="0" w:line="171" w:lineRule="exact"/>
        <w:rPr>
          <w:sz w:val="20"/>
          <w:szCs w:val="20"/>
          <w:color w:val="auto"/>
        </w:rPr>
      </w:pPr>
    </w:p>
    <w:p>
      <w:pPr>
        <w:ind w:left="1020" w:hanging="364"/>
        <w:spacing w:after="0"/>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to buy back common stock of the Company,</w:t>
      </w:r>
    </w:p>
    <w:p>
      <w:pPr>
        <w:spacing w:after="0" w:line="17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ownership that may affect control of the Company,</w:t>
      </w:r>
    </w:p>
    <w:p>
      <w:pPr>
        <w:spacing w:after="0" w:line="179"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management,</w:t>
      </w:r>
    </w:p>
    <w:p>
      <w:pPr>
        <w:spacing w:after="0" w:line="17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reserve levels or practices such as investment or asset impairments,</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or private issues of equity or debt securities,</w:t>
      </w:r>
    </w:p>
    <w:p>
      <w:pPr>
        <w:spacing w:after="0" w:line="179"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capital structure,</w:t>
      </w:r>
    </w:p>
    <w:p>
      <w:pPr>
        <w:spacing w:after="0" w:line="17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of default under financings or other agreements,</w:t>
      </w:r>
    </w:p>
    <w:p>
      <w:pPr>
        <w:spacing w:after="0" w:line="179"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the resolution of such litigation,</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9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operating or financial circumstances, such as significant changes in material contracts, cash-flow or liquidity,</w:t>
      </w:r>
    </w:p>
    <w:p>
      <w:pPr>
        <w:spacing w:after="0" w:line="150"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of dividends other than in the ordinary course or a change in dividend policy,</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forecasts or guidance or changes in forecasts or guidance,</w:t>
      </w:r>
    </w:p>
    <w:p>
      <w:pPr>
        <w:spacing w:after="0" w:line="179"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entering into new material customer contracts,</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customer, or</w:t>
      </w:r>
    </w:p>
    <w:p>
      <w:pPr>
        <w:spacing w:after="0" w:line="17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regulatory developments or changes materially impacting the Company’s business.</w:t>
      </w:r>
    </w:p>
    <w:p>
      <w:pPr>
        <w:spacing w:after="0" w:line="175" w:lineRule="exact"/>
        <w:rPr>
          <w:sz w:val="20"/>
          <w:szCs w:val="20"/>
          <w:color w:val="auto"/>
        </w:rPr>
      </w:pPr>
    </w:p>
    <w:p>
      <w:pPr>
        <w:jc w:val="both"/>
        <w:ind w:firstLine="656"/>
        <w:spacing w:after="0" w:line="221"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Non-public Information</w:t>
      </w:r>
      <w:r>
        <w:rPr>
          <w:rFonts w:ascii="Times New Roman" w:cs="Times New Roman" w:eastAsia="Times New Roman" w:hAnsi="Times New Roman"/>
          <w:sz w:val="22"/>
          <w:szCs w:val="22"/>
          <w:color w:val="auto"/>
        </w:rPr>
        <w:t>. Non-public information, also known as “insider” information, is any information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not already been disclosed generally to the public. Information about the Company that is not yet been publicly disseminated should be considered nonpublic. All information that an Insider learns about the Company or its business plans in connection with his or her employment is potentially insider information until publicly disclosed.</w:t>
      </w:r>
    </w:p>
    <w:p>
      <w:pPr>
        <w:spacing w:after="0" w:line="40" w:lineRule="exact"/>
        <w:rPr>
          <w:rFonts w:ascii="Times New Roman" w:cs="Times New Roman" w:eastAsia="Times New Roman" w:hAnsi="Times New Roman"/>
          <w:sz w:val="22"/>
          <w:szCs w:val="22"/>
          <w:color w:val="auto"/>
        </w:rPr>
      </w:pPr>
    </w:p>
    <w:p>
      <w:pPr>
        <w:jc w:val="both"/>
        <w:ind w:firstLine="656"/>
        <w:spacing w:after="0" w:line="214"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Transactions by Related Parties</w:t>
      </w:r>
      <w:r>
        <w:rPr>
          <w:rFonts w:ascii="Times New Roman" w:cs="Times New Roman" w:eastAsia="Times New Roman" w:hAnsi="Times New Roman"/>
          <w:sz w:val="22"/>
          <w:szCs w:val="22"/>
          <w:color w:val="auto"/>
        </w:rPr>
        <w:t>. The restrictions set forth in this Policy apply equally to family members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Insiders and to any entity over which the Insider or such other family members exercise or share investment control, such as a partnership or family trust. Such parties are herein collectively referred to as “</w:t>
      </w:r>
      <w:r>
        <w:rPr>
          <w:rFonts w:ascii="Times New Roman" w:cs="Times New Roman" w:eastAsia="Times New Roman" w:hAnsi="Times New Roman"/>
          <w:sz w:val="22"/>
          <w:szCs w:val="22"/>
          <w:b w:val="1"/>
          <w:bCs w:val="1"/>
          <w:u w:val="single" w:color="auto"/>
          <w:color w:val="auto"/>
        </w:rPr>
        <w:t>Related Parties</w:t>
      </w:r>
      <w:r>
        <w:rPr>
          <w:rFonts w:ascii="Times New Roman" w:cs="Times New Roman" w:eastAsia="Times New Roman" w:hAnsi="Times New Roman"/>
          <w:sz w:val="22"/>
          <w:szCs w:val="22"/>
          <w:color w:val="auto"/>
        </w:rPr>
        <w:t>.” For purposes of this Policy, family members include, if such person shares your household, a person’s (including through adoptive relationship) spouse, domestic partner, parents, grandparents, children, siblings, mother and father-in-law, sons and daughters-in-law, brothers and sisters-in-law and anyone, whether or not related, who shares such person’s home (other than domestic employees). Insiders are responsible for the compliance of Related Parties.</w:t>
      </w:r>
    </w:p>
    <w:p>
      <w:pPr>
        <w:spacing w:after="0" w:line="40"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Tipping Information to Other Prohibited</w:t>
      </w:r>
      <w:r>
        <w:rPr>
          <w:rFonts w:ascii="Times New Roman" w:cs="Times New Roman" w:eastAsia="Times New Roman" w:hAnsi="Times New Roman"/>
          <w:sz w:val="22"/>
          <w:szCs w:val="22"/>
          <w:color w:val="auto"/>
        </w:rPr>
        <w:t>. Insiders must not pass material non-public information (also known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tipping) about the Company on to others (either explicitly or by way of generally advising others to buy or sell Company Securities). The Company’s Code of Conduct also prohibits tipping material non-public information relating to any other company, including customers, vendors, managers, partners or investments obtained in the course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6" w:name="page97"/>
    <w:bookmarkEnd w:id="96"/>
    <w:p>
      <w:pPr>
        <w:jc w:val="both"/>
        <w:spacing w:after="0" w:line="225" w:lineRule="auto"/>
        <w:rPr>
          <w:sz w:val="20"/>
          <w:szCs w:val="20"/>
          <w:color w:val="auto"/>
        </w:rPr>
      </w:pPr>
      <w:r>
        <w:rPr>
          <w:rFonts w:ascii="Times New Roman" w:cs="Times New Roman" w:eastAsia="Times New Roman" w:hAnsi="Times New Roman"/>
          <w:sz w:val="22"/>
          <w:szCs w:val="22"/>
          <w:color w:val="auto"/>
        </w:rPr>
        <w:t>Remember, if an Insider’s securities transactions become the subject of scrutiny, the transactions will be viewed after-the-fact with the benefit of hindsight. As a result, before engaging in any transaction, Insiders should carefully consider how regulators and others might view such transactions in hindsight.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Blackout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is also a violation of Company policy to purchase or sell Company Securities in the following circumstances:</w:t>
      </w:r>
    </w:p>
    <w:p>
      <w:pPr>
        <w:spacing w:after="0" w:line="175" w:lineRule="exact"/>
        <w:rPr>
          <w:sz w:val="20"/>
          <w:szCs w:val="20"/>
          <w:color w:val="auto"/>
        </w:rPr>
      </w:pPr>
    </w:p>
    <w:p>
      <w:pPr>
        <w:jc w:val="both"/>
        <w:ind w:firstLine="656"/>
        <w:spacing w:after="0" w:line="215" w:lineRule="auto"/>
        <w:tabs>
          <w:tab w:leader="none" w:pos="10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Quarterly and Annual Results</w:t>
      </w:r>
      <w:r>
        <w:rPr>
          <w:rFonts w:ascii="Times New Roman" w:cs="Times New Roman" w:eastAsia="Times New Roman" w:hAnsi="Times New Roman"/>
          <w:sz w:val="21"/>
          <w:szCs w:val="21"/>
          <w:color w:val="auto"/>
        </w:rPr>
        <w:t>. “Restricted Insiders” are not permitted to trade in Company Securities during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beginning the 21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of the last month of the Company’s fiscal quarter (such as December 21 for the Company’s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fiscal quarter) and ending at the beginning of the third business day after the release of the Company’s quarterly or annual results to the public. Thus, if the Company’s results are released on a Monday after the close of the market, Thursday would generally be the first day on which Restricted Insiders could trade. If the Company’s results are released on a Friday before the opening of the market, Tuesday would generally be the first day on which Restricted Insiders could trade. For purposes of this Paragraph, “</w:t>
      </w:r>
      <w:r>
        <w:rPr>
          <w:rFonts w:ascii="Times New Roman" w:cs="Times New Roman" w:eastAsia="Times New Roman" w:hAnsi="Times New Roman"/>
          <w:sz w:val="21"/>
          <w:szCs w:val="21"/>
          <w:b w:val="1"/>
          <w:bCs w:val="1"/>
          <w:u w:val="single" w:color="auto"/>
          <w:color w:val="auto"/>
        </w:rPr>
        <w:t>Restricted Insiders</w:t>
      </w:r>
      <w:r>
        <w:rPr>
          <w:rFonts w:ascii="Times New Roman" w:cs="Times New Roman" w:eastAsia="Times New Roman" w:hAnsi="Times New Roman"/>
          <w:sz w:val="21"/>
          <w:szCs w:val="21"/>
          <w:color w:val="auto"/>
        </w:rPr>
        <w:t>” means (a) members of the Board of Directors of the Company, (b) all officers, divisional vice presidents, regional or general managers, and directors (c) all employees in finance, communications or other areas involved in the preparation of the Company’s (i) results for the fiscal period, (ii) the earnings release the Company issues to the public, or (iii) reports filed with the Securities and Exchange Commission reporting such results, and (d) Related Parties of any of the foregoing.</w:t>
      </w:r>
    </w:p>
    <w:p>
      <w:pPr>
        <w:spacing w:after="0" w:line="43" w:lineRule="exact"/>
        <w:rPr>
          <w:sz w:val="20"/>
          <w:szCs w:val="20"/>
          <w:color w:val="auto"/>
        </w:rPr>
      </w:pPr>
    </w:p>
    <w:p>
      <w:pPr>
        <w:jc w:val="both"/>
        <w:ind w:firstLine="656"/>
        <w:spacing w:after="0" w:line="227"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Public Announcements of Material Information</w:t>
      </w:r>
      <w:r>
        <w:rPr>
          <w:rFonts w:ascii="Times New Roman" w:cs="Times New Roman" w:eastAsia="Times New Roman" w:hAnsi="Times New Roman"/>
          <w:sz w:val="22"/>
          <w:szCs w:val="22"/>
          <w:color w:val="auto"/>
        </w:rPr>
        <w:t>. The Company’s shareholders and the investing public should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afforded the time to receive material information and act upon it. As a general rule, Insiders and Related Parties may not engage in any transactions until the passage of two business days after material information has been released to the public.</w:t>
      </w:r>
    </w:p>
    <w:p>
      <w:pPr>
        <w:spacing w:after="0" w:line="38"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Anticipated Material Events</w:t>
      </w:r>
      <w:r>
        <w:rPr>
          <w:rFonts w:ascii="Times New Roman" w:cs="Times New Roman" w:eastAsia="Times New Roman" w:hAnsi="Times New Roman"/>
          <w:sz w:val="22"/>
          <w:szCs w:val="22"/>
          <w:color w:val="auto"/>
        </w:rPr>
        <w:t>. The Company may issue a suspension of trading because a material event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anticipated (e.g., financial development, a merger, acquisition or any other significant corporate action). Insiders who are informed or aware of such event shall not trade in Company securities. In any such case, adequate notice shall be provided to Insiders to whom such suspension applies.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Prohibited Transactions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Company believes it is improper and inappropriate for Insiders to engage in short-term or speculative transactions involving Company Securities. Accordingly, Insiders should not engage in any of the following activities with respect to Company Securities, whether or not in possession of material non-public information:</w:t>
      </w:r>
    </w:p>
    <w:p>
      <w:pPr>
        <w:spacing w:after="0" w:line="149" w:lineRule="exact"/>
        <w:rPr>
          <w:sz w:val="20"/>
          <w:szCs w:val="20"/>
          <w:color w:val="auto"/>
        </w:rPr>
      </w:pPr>
    </w:p>
    <w:p>
      <w:pPr>
        <w:jc w:val="both"/>
        <w:ind w:firstLine="656"/>
        <w:spacing w:after="0" w:line="218" w:lineRule="auto"/>
        <w:tabs>
          <w:tab w:leader="none" w:pos="106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Trading in Equity Securities on a Short-Term Basis</w:t>
      </w:r>
      <w:r>
        <w:rPr>
          <w:rFonts w:ascii="Times New Roman" w:cs="Times New Roman" w:eastAsia="Times New Roman" w:hAnsi="Times New Roman"/>
          <w:sz w:val="22"/>
          <w:szCs w:val="22"/>
          <w:color w:val="auto"/>
        </w:rPr>
        <w:t>. Any Equity Securities purchased in the open market should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held for a minimum of six months and ideally longer. This rule may not apply to certain types of transactions involving awards under the Company’s equity compensation plans, such as stock option exercises, the receipt of performance shares and the vesting of restricted shares, in each case followed by a sale of share. However, any such transactions should be discussed with the Company if you have any questions.</w:t>
      </w:r>
    </w:p>
    <w:p>
      <w:pPr>
        <w:spacing w:after="0" w:line="147" w:lineRule="exact"/>
        <w:rPr>
          <w:sz w:val="20"/>
          <w:szCs w:val="20"/>
          <w:color w:val="auto"/>
        </w:rPr>
      </w:pPr>
    </w:p>
    <w:p>
      <w:pPr>
        <w:ind w:right="20" w:firstLine="656"/>
        <w:spacing w:after="0" w:line="238"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Short Sales</w:t>
      </w:r>
      <w:r>
        <w:rPr>
          <w:rFonts w:ascii="Times New Roman" w:cs="Times New Roman" w:eastAsia="Times New Roman" w:hAnsi="Times New Roman"/>
          <w:sz w:val="22"/>
          <w:szCs w:val="22"/>
          <w:color w:val="auto"/>
        </w:rPr>
        <w:t>. Selling Company Securities “short” is prohibited. Selling short is the practice of selling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than one owns, a technique used to speculate on a decline in the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97" w:name="page98"/>
    <w:bookmarkEnd w:id="97"/>
    <w:p>
      <w:pPr>
        <w:jc w:val="both"/>
        <w:ind w:firstLine="656"/>
        <w:spacing w:after="0" w:line="213"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Buying or Selling Puts, Calls or Derivatives</w:t>
      </w:r>
      <w:r>
        <w:rPr>
          <w:rFonts w:ascii="Times New Roman" w:cs="Times New Roman" w:eastAsia="Times New Roman" w:hAnsi="Times New Roman"/>
          <w:sz w:val="22"/>
          <w:szCs w:val="22"/>
          <w:color w:val="auto"/>
        </w:rPr>
        <w:t>. The purchase or sale of options of any kind, whether puts, calls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derivative securities, related to Company Securities is prohibited. The speculative nature of the market for these financial instruments imposes timing considerations that are inconsistent with careful avoidance, or even the appearance, of trading on insider information. A put is a right to sell at a specified price a specific number of shares by a certain date and is utilized in anticipation of a decline in the share price. A call is a right to buy at a specified price a specified number of shares by a certain date and is utilized in anticipation of a rise in the share price. A derivative is an option, warrant, convertible security, stock appreciation right, or similar right with an exercise or conversion privilege at a price related to an equity security, or similar securities with a value derived from the value of an equity security.</w:t>
      </w:r>
    </w:p>
    <w:p>
      <w:pPr>
        <w:spacing w:after="0" w:line="39"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Purchases of Company Securities on Margin</w:t>
      </w:r>
      <w:r>
        <w:rPr>
          <w:rFonts w:ascii="Times New Roman" w:cs="Times New Roman" w:eastAsia="Times New Roman" w:hAnsi="Times New Roman"/>
          <w:sz w:val="22"/>
          <w:szCs w:val="22"/>
          <w:color w:val="auto"/>
        </w:rPr>
        <w:t>. Any Company Securities purchased in the open market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for fully at the time of purchase. Purchasing Company Securities on margin (borrowing money from a stockbroker to fund the stock purchase) or holding these securities in a margin account is prohibited. This prohibition does not apply to “cashless exercises” of employee stock options, in which the Insider sells shares being acquired to pay the taxes required to be withheld and/or the exercise price of the stock option.</w:t>
      </w:r>
    </w:p>
    <w:p>
      <w:pPr>
        <w:spacing w:after="0" w:line="39"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Hedging Transactions</w:t>
      </w:r>
      <w:r>
        <w:rPr>
          <w:rFonts w:ascii="Times New Roman" w:cs="Times New Roman" w:eastAsia="Times New Roman" w:hAnsi="Times New Roman"/>
          <w:sz w:val="22"/>
          <w:szCs w:val="22"/>
          <w:color w:val="auto"/>
        </w:rPr>
        <w:t>. Insiders are prohibiting, directly or indirectly, from purchasing financial instrument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swaps, collars, prepaid forward contracts and exchange funds) or otherwise engaging in any transaction that hedges or offsets, or is designed to hedge or offset, any decrease in the market value of Equity Securities granted to the Insider as part of his or her compensation or held directly or indirectly by the Insider.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Exceptions</w:t>
      </w:r>
    </w:p>
    <w:p>
      <w:pPr>
        <w:spacing w:after="0" w:line="179" w:lineRule="exact"/>
        <w:rPr>
          <w:sz w:val="20"/>
          <w:szCs w:val="20"/>
          <w:color w:val="auto"/>
        </w:rPr>
      </w:pPr>
    </w:p>
    <w:p>
      <w:pPr>
        <w:jc w:val="both"/>
        <w:ind w:firstLine="656"/>
        <w:spacing w:after="0" w:line="221" w:lineRule="auto"/>
        <w:tabs>
          <w:tab w:leader="none" w:pos="118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Rule 10b5-1 Plans</w:t>
      </w:r>
      <w:r>
        <w:rPr>
          <w:rFonts w:ascii="Times New Roman" w:cs="Times New Roman" w:eastAsia="Times New Roman" w:hAnsi="Times New Roman"/>
          <w:sz w:val="21"/>
          <w:szCs w:val="21"/>
          <w:color w:val="auto"/>
        </w:rPr>
        <w:t>. A purchase or sale of Company Securities in accordance with a trading plan adopted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Rule 10b5-1(c) (“Rule 10b5-1”) under the Securities Exchange Act of 1934 (“</w:t>
      </w:r>
      <w:r>
        <w:rPr>
          <w:rFonts w:ascii="Times New Roman" w:cs="Times New Roman" w:eastAsia="Times New Roman" w:hAnsi="Times New Roman"/>
          <w:sz w:val="21"/>
          <w:szCs w:val="21"/>
          <w:u w:val="single" w:color="auto"/>
          <w:color w:val="auto"/>
        </w:rPr>
        <w:t>1934 Act</w:t>
      </w:r>
      <w:r>
        <w:rPr>
          <w:rFonts w:ascii="Times New Roman" w:cs="Times New Roman" w:eastAsia="Times New Roman" w:hAnsi="Times New Roman"/>
          <w:sz w:val="21"/>
          <w:szCs w:val="21"/>
          <w:color w:val="auto"/>
        </w:rPr>
        <w:t>”) and this Policy shall not be deemed to be a violation of this Policy even though such trade takes place during a blackout period or while the Insider was aware of material, non-public information. However, the trading plan must be adopted outside of a blackout period, in the case of a Restricted Insider, and at a time when such Insider is not aware of material, non-public information about the Company. A trading plan is a contract, instruction or a written plan regarding the purchase or sale of securities, as more fully described in Rule 10b5-1. Each trading plan must be approved by the Company prior to establishment to confirm compliance with this Policy and applicable securities laws. Approval of a trading plan shall not be deemed a representation by the Company or any of its officers or agents that such plan complies with Rule 10b5-1, nor an assumption by the Company or any of its officers or agents of any liability or responsibility to the individual or any other party if the plan does not comply with Rule 10b5-1.</w:t>
      </w:r>
    </w:p>
    <w:p>
      <w:pPr>
        <w:spacing w:after="0" w:line="44" w:lineRule="exact"/>
        <w:rPr>
          <w:sz w:val="20"/>
          <w:szCs w:val="20"/>
          <w:color w:val="auto"/>
        </w:rPr>
      </w:pPr>
    </w:p>
    <w:p>
      <w:pPr>
        <w:jc w:val="both"/>
        <w:ind w:firstLine="656"/>
        <w:spacing w:after="0" w:line="221" w:lineRule="auto"/>
        <w:tabs>
          <w:tab w:leader="none" w:pos="128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Option Exercise</w:t>
      </w:r>
      <w:r>
        <w:rPr>
          <w:rFonts w:ascii="Times New Roman" w:cs="Times New Roman" w:eastAsia="Times New Roman" w:hAnsi="Times New Roman"/>
          <w:sz w:val="22"/>
          <w:szCs w:val="22"/>
          <w:color w:val="auto"/>
        </w:rPr>
        <w:t>. The exercise of stock options issued by the Company (but not the sale of any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upon such exercise) is exempt from this Policy. However, this exception does not apply to the “cashless” exercise of a stock option, and any sales of Company Securities sold upon a “cashless” exercise (the simultaneous sale of some or all of the shares received upon the exercise of a stock option) must comply with this Policy.</w:t>
      </w:r>
    </w:p>
    <w:p>
      <w:pPr>
        <w:spacing w:after="0" w:line="40"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Gifts</w:t>
      </w:r>
      <w:r>
        <w:rPr>
          <w:rFonts w:ascii="Times New Roman" w:cs="Times New Roman" w:eastAsia="Times New Roman" w:hAnsi="Times New Roman"/>
          <w:sz w:val="22"/>
          <w:szCs w:val="22"/>
          <w:color w:val="auto"/>
        </w:rPr>
        <w:t>. Bona fide gifts of Company Securities are exempt from this Policy. However, if the gift is to a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the Insider must ensure that the Related Party does not trade in those securities in violation of the Policy.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Communications with the Market and Others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Inquiries about the Company may be made by the financial press, investment analysts, Mistras shareholders or others in the financial community. Only certain designated officers may communicate on behalf of the Company with the investment community. Unless an employee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98" w:name="page99"/>
    <w:bookmarkEnd w:id="98"/>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expressly authorized to do so, any inquiries of this nature should be referred to the Company’s chief financial officer or general counsel.</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At times, Insiders do need to share information about the Company with third parties, such as customers or vendors. Care should be taken to disclose only such material non-public information as is necessary or appropriate for the Company’s commercial relationship with third parties.</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the Company’s Regulation FD Compliance Guidelines, which provides for the manner in which representatives of the Company, including Insiders, may communicate with the investing public and financial market professionals.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16 Compliance</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Section 16 of the 1934 Act contains reporting requirements for members of the Company’s Board of Directors and executive officers, as well as prohibitions and certain “short swing” trading in Company Securities. Attached as Exhibit B are Additional Procedures for Directors and Executive Officers to help these individuals meet their obligations under Section 16 of the 1934 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Assistance</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ultimate responsibility for adhering to this Policy and avoiding improper transactions rests with the Insider. It is imperative that Insiders use their best judgment. Any person who has any questions about specific transactions may obtain additional guidance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Regulation FD Compliance Guidelines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Whenever the Company discloses any material non-public information regarding the Company or its securities to certain “Covered Persons,” the Company must make broad public disclosure of that information (1) simultaneously in the case of an intentional disclosure, or (2) “promptly” in the case of an unintentional disclosure.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Regulation FD only applies to communications between</w:t>
      </w:r>
    </w:p>
    <w:p>
      <w:pPr>
        <w:spacing w:after="0" w:line="179" w:lineRule="exact"/>
        <w:rPr>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Company representatives (“Company Representatives”):</w:t>
      </w:r>
    </w:p>
    <w:p>
      <w:pPr>
        <w:spacing w:after="0" w:line="179"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officers and members of the Board of Directors;</w:t>
      </w:r>
    </w:p>
    <w:p>
      <w:pPr>
        <w:spacing w:after="0" w:line="179" w:lineRule="exact"/>
        <w:rPr>
          <w:rFonts w:ascii="Times New Roman" w:cs="Times New Roman" w:eastAsia="Times New Roman" w:hAnsi="Times New Roman"/>
          <w:sz w:val="22"/>
          <w:szCs w:val="22"/>
          <w:color w:val="auto"/>
        </w:rPr>
      </w:pPr>
    </w:p>
    <w:p>
      <w:pPr>
        <w:ind w:left="1960" w:hanging="332"/>
        <w:spacing w:after="0"/>
        <w:tabs>
          <w:tab w:leader="none" w:pos="196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investor relations and public relations representatives; and</w:t>
      </w:r>
    </w:p>
    <w:p>
      <w:pPr>
        <w:spacing w:after="0" w:line="179" w:lineRule="exact"/>
        <w:rPr>
          <w:rFonts w:ascii="Times New Roman" w:cs="Times New Roman" w:eastAsia="Times New Roman" w:hAnsi="Times New Roman"/>
          <w:sz w:val="22"/>
          <w:szCs w:val="22"/>
          <w:color w:val="auto"/>
        </w:rPr>
      </w:pPr>
    </w:p>
    <w:p>
      <w:pPr>
        <w:ind w:left="1960" w:right="20" w:hanging="332"/>
        <w:spacing w:after="0" w:line="236" w:lineRule="auto"/>
        <w:tabs>
          <w:tab w:leader="none" w:pos="194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personnel who regularly communicate on behalf of the Company with market professionals and holders of the Company’s Securities;</w:t>
      </w:r>
    </w:p>
    <w:p>
      <w:pPr>
        <w:spacing w:after="0" w:line="1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And</w:t>
      </w:r>
    </w:p>
    <w:p>
      <w:pPr>
        <w:spacing w:after="0" w:line="179" w:lineRule="exact"/>
        <w:rPr>
          <w:sz w:val="20"/>
          <w:szCs w:val="20"/>
          <w:color w:val="auto"/>
        </w:rPr>
      </w:pPr>
    </w:p>
    <w:p>
      <w:pPr>
        <w:ind w:left="1300" w:hanging="320"/>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recipients (“Covered Persons”)</w:t>
      </w:r>
    </w:p>
    <w:p>
      <w:pPr>
        <w:spacing w:after="0" w:line="179" w:lineRule="exact"/>
        <w:rPr>
          <w:rFonts w:ascii="Times New Roman" w:cs="Times New Roman" w:eastAsia="Times New Roman" w:hAnsi="Times New Roman"/>
          <w:sz w:val="22"/>
          <w:szCs w:val="22"/>
          <w:color w:val="auto"/>
        </w:rPr>
      </w:pPr>
    </w:p>
    <w:p>
      <w:pPr>
        <w:ind w:left="1960" w:hanging="332"/>
        <w:spacing w:after="0" w:line="236" w:lineRule="auto"/>
        <w:tabs>
          <w:tab w:leader="none" w:pos="194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professionals (including broker-dealers, investment advisors, analysts, portfolio managers, and investment companies); and</w:t>
      </w:r>
    </w:p>
    <w:p>
      <w:pPr>
        <w:spacing w:after="0" w:line="150" w:lineRule="exact"/>
        <w:rPr>
          <w:rFonts w:ascii="Times New Roman" w:cs="Times New Roman" w:eastAsia="Times New Roman" w:hAnsi="Times New Roman"/>
          <w:sz w:val="22"/>
          <w:szCs w:val="22"/>
          <w:color w:val="auto"/>
        </w:rPr>
      </w:pPr>
    </w:p>
    <w:p>
      <w:pPr>
        <w:ind w:left="1960" w:right="20" w:hanging="332"/>
        <w:spacing w:after="0" w:line="236" w:lineRule="auto"/>
        <w:tabs>
          <w:tab w:leader="none" w:pos="196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the Company’s Securities who are likely to trade on the basis of the material non-public information.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Only the following Company Representatives are authorized to communicate with Covered Persons on matters involving the</w:t>
      </w: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5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Chief Operating Officer; and</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Executive Chairman</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other Company Representative should communicate with any Covered Person on any matter involving the Company without prior consent of the Chief Executive Officer or Chief Financial Officer.</w:t>
      </w:r>
    </w:p>
    <w:p>
      <w:pPr>
        <w:spacing w:after="0" w:line="150"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2"/>
          <w:szCs w:val="22"/>
          <w:color w:val="auto"/>
        </w:rPr>
        <w:t>Information is considered “material” if there is a substantial likelihood that a reasonable investor would consider the information important in making an investment decision, or if the information would significantly alter the total mix of information then available. Information is considered “non-public” if it has not been disseminated in a manner making it available to investors generally.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SEC has listed the following as examples of material information. This should not be considered an exhaustive list.</w:t>
      </w: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240"/>
          </w:cols>
          <w:pgMar w:left="320" w:top="1391" w:right="339" w:bottom="1440" w:gutter="0" w:footer="0" w:header="0"/>
          <w:type w:val="continuous"/>
        </w:sectPr>
      </w:pPr>
    </w:p>
    <w:bookmarkStart w:id="100" w:name="page101"/>
    <w:bookmarkEnd w:id="100"/>
    <w:p>
      <w:pPr>
        <w:ind w:left="540"/>
        <w:spacing w:after="0"/>
        <w:rPr>
          <w:sz w:val="20"/>
          <w:szCs w:val="20"/>
          <w:color w:val="auto"/>
        </w:rPr>
      </w:pPr>
      <w:r>
        <w:rPr>
          <w:rFonts w:ascii="Times New Roman" w:cs="Times New Roman" w:eastAsia="Times New Roman" w:hAnsi="Times New Roman"/>
          <w:sz w:val="22"/>
          <w:szCs w:val="22"/>
          <w:color w:val="auto"/>
        </w:rPr>
        <w:t>Earnings information;</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Mergers, acquisitions, tender offers, joint ventures, or changes in assets;</w:t>
      </w:r>
    </w:p>
    <w:p>
      <w:pPr>
        <w:spacing w:after="0" w:line="179" w:lineRule="exact"/>
        <w:rPr>
          <w:sz w:val="20"/>
          <w:szCs w:val="20"/>
          <w:color w:val="auto"/>
        </w:rPr>
      </w:pPr>
    </w:p>
    <w:p>
      <w:pPr>
        <w:jc w:val="both"/>
        <w:ind w:left="660" w:hanging="107"/>
        <w:spacing w:after="0" w:line="236" w:lineRule="auto"/>
        <w:rPr>
          <w:sz w:val="20"/>
          <w:szCs w:val="20"/>
          <w:color w:val="auto"/>
        </w:rPr>
      </w:pPr>
      <w:r>
        <w:rPr>
          <w:rFonts w:ascii="Times New Roman" w:cs="Times New Roman" w:eastAsia="Times New Roman" w:hAnsi="Times New Roman"/>
          <w:sz w:val="22"/>
          <w:szCs w:val="22"/>
          <w:color w:val="auto"/>
        </w:rPr>
        <w:t>New products or discoveries, developments regarding customers or suppliers (e.g. the acquisition or the loss of a material or important contract);</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Changes in control or in management;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Change in auditors or auditor notification that the Company may no longer rely on an auditor’s report; and</w:t>
      </w:r>
    </w:p>
    <w:p>
      <w:pPr>
        <w:spacing w:after="0" w:line="179" w:lineRule="exact"/>
        <w:rPr>
          <w:sz w:val="20"/>
          <w:szCs w:val="20"/>
          <w:color w:val="auto"/>
        </w:rPr>
      </w:pPr>
    </w:p>
    <w:p>
      <w:pPr>
        <w:jc w:val="both"/>
        <w:ind w:left="660" w:right="20" w:hanging="107"/>
        <w:spacing w:after="0" w:line="225" w:lineRule="auto"/>
        <w:rPr>
          <w:sz w:val="20"/>
          <w:szCs w:val="20"/>
          <w:color w:val="auto"/>
        </w:rPr>
      </w:pPr>
      <w:r>
        <w:rPr>
          <w:rFonts w:ascii="Times New Roman" w:cs="Times New Roman" w:eastAsia="Times New Roman" w:hAnsi="Times New Roman"/>
          <w:sz w:val="22"/>
          <w:szCs w:val="22"/>
          <w:color w:val="auto"/>
        </w:rPr>
        <w:t>Events regarding the Company’s securities (e.g. defaults on senior securities, calls of securities for redemption, repurchase plans, stock splits or changes in dividends, changes to the rights of security holders, public or private sales of additional securities).</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material, non-public information is disclosed accidentally by a Company Representative to a Covered Person, the Company has an obligation to make a public disclosure containing the same information promptly (not to exceed 24 hours) after the Company becomes aware if the disclosure.</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unintended disclosure occurs on a weekend or holiday, and the New York Stock Exchange is not open the next day, the Company must make the general disclosure by the time the Exchange opens on the next trading day.</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violation of these guidelines by a Company Representative shall be brought to the attention of the General Counsel and may constitute grounds disciplinary action, up to and including for termination for cause.</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If you believe that you have improperly disclosed material, non-public information to a Covered Person, you should immediately contact Michael Keefe, Executive Vice President, General Counsel (609-716-4128; michael.keefe@mistrasgroup.com).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95" w:right="339" w:bottom="1440" w:gutter="0" w:footer="0" w:header="0"/>
        </w:sectPr>
      </w:pPr>
    </w:p>
    <w:bookmarkStart w:id="101" w:name="page102"/>
    <w:bookmarkEnd w:id="101"/>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PROCEDURES FOR DIRECTORS AND EXECUTIVE OFFICERS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additional procedures below only apply to members of the Board of Directors and Executive, or “Section 16”, Officers of the Company and certain other persons as the Company may determine from time to time (collectively, the “</w:t>
      </w:r>
      <w:r>
        <w:rPr>
          <w:rFonts w:ascii="Times New Roman" w:cs="Times New Roman" w:eastAsia="Times New Roman" w:hAnsi="Times New Roman"/>
          <w:sz w:val="21"/>
          <w:szCs w:val="21"/>
          <w:u w:val="single" w:color="auto"/>
          <w:color w:val="auto"/>
        </w:rPr>
        <w:t>Specified Persons</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Specified Persons must strictly comply with these procedures.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Questions regarding these procedures and trade clearance should be directed to one of the following Clearance Officers: Michael Keefe, Executive Vice President, General Counsel (609-716-4128; michael.keefe@mistrasgroup.com), or Ed Prajzner, Senior Vice President, Chief Financial Officer (609-716-4102; (Edward.prajzner@mistrasgroup.com).</w:t>
      </w:r>
    </w:p>
    <w:p>
      <w:pPr>
        <w:spacing w:after="0" w:line="14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b w:val="1"/>
          <w:bCs w:val="1"/>
          <w:color w:val="auto"/>
        </w:rPr>
        <w:t>Pre-Clearance Requirement for Specified Persons</w:t>
      </w:r>
      <w:r>
        <w:rPr>
          <w:rFonts w:ascii="Times New Roman" w:cs="Times New Roman" w:eastAsia="Times New Roman" w:hAnsi="Times New Roman"/>
          <w:sz w:val="22"/>
          <w:szCs w:val="22"/>
          <w:color w:val="auto"/>
        </w:rPr>
        <w:t>. Before any Specified Person engages in any transaction involving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Securities, the Specified Person must pre-clear the proposed transaction with the Clearance Officer. Until the Clearance Officer provides pre-clearance for the proposed transaction, the Specified Person shall not execute any transaction. If the Specified Person receives pre-clearance, he or she will have until the end of two trading days following the day pre-clearance is received (or such other period as may be specified by the Clearance Officer based upon the circumstances) to execute the transaction. For example, if a Specified Person receives pre-clearance from the Clearance Officer on a Tuesday, that Specified Person generally will have until the end of trading on Thursday of the same week to execute the transaction. If for any reason the transaction is not completed within this period of time, pre-clearance must be obtained again from the Clearance Officer before any Company Securities can be traded.</w:t>
      </w:r>
    </w:p>
    <w:p>
      <w:pPr>
        <w:spacing w:after="0" w:line="18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pre-clearance requirement applies to all proposed purchases and sales of Company Securities. Specified Persons must also pre-clear all potential changes in their beneficial ownership of Company Securities, including changes resulting from a gift to a charitable organization or a transfer to a family trust.</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Remember, even if a proposed trade is pre-cleared, you are prohibited from trading any Company Securities while in possession of material non-public information relating to the Company.</w:t>
      </w:r>
    </w:p>
    <w:p>
      <w:pPr>
        <w:spacing w:after="0" w:line="14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color w:val="auto"/>
        </w:rPr>
        <w:t>Pre-Clearance for Transactions by Family Members</w:t>
      </w:r>
      <w:r>
        <w:rPr>
          <w:rFonts w:ascii="Times New Roman" w:cs="Times New Roman" w:eastAsia="Times New Roman" w:hAnsi="Times New Roman"/>
          <w:sz w:val="22"/>
          <w:szCs w:val="22"/>
          <w:color w:val="auto"/>
        </w:rPr>
        <w:t>. Under the securities laws, the Company Securities held in the name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spouse or minor children of a Specified Person will generally be regarded as beneficially owned by the Specified Person. In addition, in many circumstances, Company Securities held in the name of other persons who are members of the Specified Person’s household or financially supported by the Specified Person (regardless of whether these other persons are related or unrelated to the Specified Person), will generally be regarded as beneficially owned by the Specified Person.</w:t>
      </w:r>
    </w:p>
    <w:p>
      <w:pPr>
        <w:spacing w:after="0" w:line="15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Therefore, you must pre-clear with the Clearance Officer any potential transactions in Company Securities held by you, your spouse, minor children and any other persons who are members of your household or financially supported by you (regardless of whether these other persons are related or unrelated to you).</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Pre-Clearance for Former Specified Persons. </w:t>
      </w:r>
      <w:r>
        <w:rPr>
          <w:rFonts w:ascii="Times New Roman" w:cs="Times New Roman" w:eastAsia="Times New Roman" w:hAnsi="Times New Roman"/>
          <w:sz w:val="22"/>
          <w:szCs w:val="22"/>
          <w:color w:val="auto"/>
        </w:rPr>
        <w:t>If a Specified Person retires, resigns, is terminated or undergoes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his or her relationship with the Company such that the person is no longer a Specified Person, that person must continue to pre-clear any proposed transaction in Company Securities with the Clearance Officer for six months from the day he or she ceases being a Specified Person if the Specified Person had any transactions in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391" w:right="339" w:bottom="1440" w:gutter="0" w:footer="0" w:header="0"/>
        </w:sectPr>
      </w:pPr>
    </w:p>
    <w:bookmarkStart w:id="102" w:name="page103"/>
    <w:bookmarkEnd w:id="102"/>
    <w:p>
      <w:pPr>
        <w:spacing w:after="0" w:line="17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Securities during the six month period immediately preceding that date. Certain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reporting requirements may continue to apply during this period.</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Section 16 Reporting Requirements</w:t>
      </w:r>
      <w:r>
        <w:rPr>
          <w:rFonts w:ascii="Times New Roman" w:cs="Times New Roman" w:eastAsia="Times New Roman" w:hAnsi="Times New Roman"/>
          <w:sz w:val="22"/>
          <w:szCs w:val="22"/>
          <w:color w:val="auto"/>
        </w:rPr>
        <w:t>. One purpose of the pre-clearance requirement is to help you comply with your SEC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reporting obligations under Section 16 of the 1934 Act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The Clearance Officer will assist in preparing and filing most forms. You or your broker should not file Forms 3, 4 or 5 described below without consulting with the Clearance Officer. However, you should be generally familiar with the following reporting requirements.</w:t>
      </w:r>
    </w:p>
    <w:p>
      <w:pPr>
        <w:spacing w:after="0" w:line="15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All Directors and Section 16 Officers of the Company are required under Section 16 to report their initial beneficial ownership, and most changes to their beneficial ownership, of the Equity Securities to the SEC. Reporting may be required with respect to Equity Securities held in the name of the spouse or minor children of a Director or Section 16 Officer. Reporting may also be required with respect to Equity Securities held in the name of other persons who are members of the Director’s or Section 16 Officer’s household or financially supported by the Director or Section 16 Officer (regardless of whether these other persons are related or unrelated to the Director or Section 16 Officer). Reporting may be required for Equity Securities held by a trust for which a Director or Section 16 Officer is a trustee or beneficiary, or Equity Securities held by a corporation in which such person has a controlling interest or a partnership in which such person has an interest. Reportable transactions include acquisitions and dispositions of Equity Securities through gifts, inheritances, stock option grants and exercises, and stock awards under incentive or bonus plans. Furthermore, changes in the nature of such ownership (e.g., from direct to indirect) of Equity Securities, including through the transfer of shares to or from a family member, are likewise reportable.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SEC requires three forms to be used by Directors and Section 16 Officers to satisfy these reporting requirements:</w:t>
      </w:r>
    </w:p>
    <w:p>
      <w:pPr>
        <w:spacing w:after="0" w:line="206" w:lineRule="exact"/>
        <w:rPr>
          <w:sz w:val="20"/>
          <w:szCs w:val="20"/>
          <w:color w:val="auto"/>
        </w:rPr>
      </w:pPr>
    </w:p>
    <w:p>
      <w:pPr>
        <w:ind w:left="820" w:hanging="326"/>
        <w:spacing w:after="0" w:line="236" w:lineRule="auto"/>
        <w:tabs>
          <w:tab w:leader="none" w:pos="81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3 (Initial Report): Directors and Section 16 Officers must file a Form 3 with the SEC, even if they hold no Equity Securities, within 10 calendar days of becoming a Director or Section 16 Officer.</w:t>
      </w:r>
    </w:p>
    <w:p>
      <w:pPr>
        <w:spacing w:after="0" w:line="177" w:lineRule="exact"/>
        <w:rPr>
          <w:rFonts w:ascii="Times New Roman" w:cs="Times New Roman" w:eastAsia="Times New Roman" w:hAnsi="Times New Roman"/>
          <w:sz w:val="22"/>
          <w:szCs w:val="22"/>
          <w:color w:val="auto"/>
        </w:rPr>
      </w:pPr>
    </w:p>
    <w:p>
      <w:pPr>
        <w:jc w:val="both"/>
        <w:ind w:left="820" w:right="20" w:hanging="245"/>
        <w:spacing w:after="0" w:line="225" w:lineRule="auto"/>
        <w:tabs>
          <w:tab w:leader="none" w:pos="81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4: Directors and Section 16 Officers must file a Form 4 with the SEC within two business days of most changes in their beneficial ownership of Equity Securities, or any changes in the beneficial ownership of others whose holdings may be attributed to them.</w:t>
      </w:r>
    </w:p>
    <w:p>
      <w:pPr>
        <w:spacing w:after="0" w:line="179" w:lineRule="exact"/>
        <w:rPr>
          <w:rFonts w:ascii="Times New Roman" w:cs="Times New Roman" w:eastAsia="Times New Roman" w:hAnsi="Times New Roman"/>
          <w:sz w:val="22"/>
          <w:szCs w:val="22"/>
          <w:color w:val="auto"/>
        </w:rPr>
      </w:pPr>
    </w:p>
    <w:p>
      <w:pPr>
        <w:jc w:val="both"/>
        <w:ind w:left="820" w:hanging="164"/>
        <w:spacing w:after="0" w:line="215" w:lineRule="auto"/>
        <w:tabs>
          <w:tab w:leader="none" w:pos="1297"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5: Directors and Section 16 Officers may have to file a Form 5 with the SEC within 45 calendar days following the end of each fiscal year of the Company. Like all of the SEC’s reporting requirements, the requirements for filing a Form 5 are technical and you should consult with the Clearance Officer to discuss these requirements as the end of the fiscal year approaches. You should be aware that a Form 5 is generally filed for holdings and transactions in Equity Securities that did not have to be previously reported, and/or those holdings and transactions that should have been previously reported but were not.</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Each Director and Section 16 Officer may execute a power of attorney giving a Clearance Officer or his or her designee the authority to sign Forms 3, 4 and 5 on his or her behalf to facilitate timely filings.</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Rule 144 Compliance</w:t>
      </w:r>
      <w:r>
        <w:rPr>
          <w:rFonts w:ascii="Times New Roman" w:cs="Times New Roman" w:eastAsia="Times New Roman" w:hAnsi="Times New Roman"/>
          <w:sz w:val="22"/>
          <w:szCs w:val="22"/>
          <w:color w:val="auto"/>
        </w:rPr>
        <w:t>. Sales of Company Securities, regardless of how acquired (i.e., purchases in the open market),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 of the Company must be made in compliance with the provisions of Rule 144 under the Securities Act of 1933 (“</w:t>
      </w:r>
      <w:r>
        <w:rPr>
          <w:rFonts w:ascii="Times New Roman" w:cs="Times New Roman" w:eastAsia="Times New Roman" w:hAnsi="Times New Roman"/>
          <w:sz w:val="22"/>
          <w:szCs w:val="22"/>
          <w:u w:val="single" w:color="auto"/>
          <w:color w:val="auto"/>
        </w:rPr>
        <w:t>Rule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144</w:t>
      </w:r>
      <w:r>
        <w:rPr>
          <w:rFonts w:ascii="Times New Roman" w:cs="Times New Roman" w:eastAsia="Times New Roman" w:hAnsi="Times New Roman"/>
          <w:sz w:val="22"/>
          <w:szCs w:val="22"/>
          <w:color w:val="auto"/>
        </w:rPr>
        <w:t>”) if the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40"/>
          </w:cols>
          <w:pgMar w:left="320" w:top="1440" w:right="339" w:bottom="1440" w:gutter="0" w:footer="0" w:header="0"/>
        </w:sectPr>
      </w:pPr>
    </w:p>
    <w:bookmarkStart w:id="103" w:name="page104"/>
    <w:bookmarkEnd w:id="103"/>
    <w:p>
      <w:pPr>
        <w:jc w:val="both"/>
        <w:spacing w:after="0" w:line="224" w:lineRule="auto"/>
        <w:rPr>
          <w:sz w:val="20"/>
          <w:szCs w:val="20"/>
          <w:color w:val="auto"/>
        </w:rPr>
      </w:pPr>
      <w:r>
        <w:rPr>
          <w:rFonts w:ascii="Times New Roman" w:cs="Times New Roman" w:eastAsia="Times New Roman" w:hAnsi="Times New Roman"/>
          <w:sz w:val="21"/>
          <w:szCs w:val="21"/>
          <w:color w:val="auto"/>
        </w:rPr>
        <w:t>are “restricted securities” under Rule 144. An “affiliate” of the Company for purposes of Rule 144 is a person that directly or indirectly controls or is controlled by the Company. “Control” is defined as the power to direct or cause the direction of management and policies of the Company, whether through ownership of shares, by contract or otherwise. Each Director and Section 16 Officer should consider himself or herself potentially to be an “affiliate” of the Company under Rule 144. In addition, the family members of such Directors and Section 16 Officers might also be deemed to be “affiliates” of the Company if they, too, are controlled by such director or officer. You should discuss with your broker and the Clearance Officer whether Rule 144 is applicable. Equity Securities received pursuant to the Company’s equity plans are not “restricted securities.”</w:t>
      </w:r>
    </w:p>
    <w:p>
      <w:pPr>
        <w:spacing w:after="0" w:line="38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b w:val="1"/>
          <w:bCs w:val="1"/>
          <w:color w:val="auto"/>
        </w:rPr>
        <w:t>Short-Swing Profits</w:t>
      </w:r>
      <w:r>
        <w:rPr>
          <w:rFonts w:ascii="Times New Roman" w:cs="Times New Roman" w:eastAsia="Times New Roman" w:hAnsi="Times New Roman"/>
          <w:sz w:val="22"/>
          <w:szCs w:val="22"/>
          <w:color w:val="auto"/>
        </w:rPr>
        <w:t>. Section 16 provides that if a Director or Section 16 Officer realizes a profit, known as a “short-swing”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profit, from the purchase and sale, or sale and purchase, of Equity Securities within six months of each transaction, the Director or Section 16 Officer is required to disgorge any such short-swing profit to the Company. These purchases and sales within six months of each other may be matched in any manner to maximize the short-swing profits, and are not reduced or offset by losses. Accordingly, all Directors and Section 16 Officers must be mindful of these short-swing trading rules and plan accordingly so that they will not violate Section 16. Generally, grants of equity awards under the Company’s equity plans, and the vesting of awards, withholding of shares upon vesting to pay withholding taxes of these awards, or the exercise or conversion of any such award into Equity Securities, are not deemed purchases or sales under Section 16.</w:t>
      </w:r>
    </w:p>
    <w:p>
      <w:pPr>
        <w:spacing w:after="0" w:line="39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Filing Responsibilities: The Ultimate Responsibility Rests with You</w:t>
      </w:r>
      <w:r>
        <w:rPr>
          <w:rFonts w:ascii="Times New Roman" w:cs="Times New Roman" w:eastAsia="Times New Roman" w:hAnsi="Times New Roman"/>
          <w:sz w:val="22"/>
          <w:szCs w:val="22"/>
          <w:color w:val="auto"/>
        </w:rPr>
        <w:t>. While these procedures are intended to help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Section 16 Officers comply with the requirements of the federal securities laws, Directors and Section 16 Officers are legally obligated to ensure that their filings are made correctly and on time, and that they do not engage in unlawful short-swing or insider trading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1240"/>
          </w:cols>
          <w:pgMar w:left="320" w:top="1395"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97" w:lineRule="exact"/>
        <w:rPr>
          <w:sz w:val="20"/>
          <w:szCs w:val="20"/>
          <w:color w:val="auto"/>
        </w:rPr>
      </w:pPr>
    </w:p>
    <w:p>
      <w:pPr>
        <w:ind w:right="760"/>
        <w:spacing w:after="0" w:line="313" w:lineRule="auto"/>
        <w:rPr>
          <w:sz w:val="20"/>
          <w:szCs w:val="20"/>
          <w:color w:val="auto"/>
        </w:rPr>
      </w:pPr>
      <w:r>
        <w:rPr>
          <w:rFonts w:ascii="Times New Roman" w:cs="Times New Roman" w:eastAsia="Times New Roman" w:hAnsi="Times New Roman"/>
          <w:sz w:val="18"/>
          <w:szCs w:val="18"/>
          <w:color w:val="auto"/>
        </w:rPr>
        <w:t>The following is a list of subsidiaries of the registrant. The list omits some subsidiaries which, in the aggregate, would not constitute a significant subsidiary.</w:t>
      </w:r>
    </w:p>
    <w:p>
      <w:pPr>
        <w:sectPr>
          <w:pgSz w:w="11900" w:h="16838" w:orient="portrait"/>
          <w:cols w:equalWidth="0" w:num="1">
            <w:col w:w="11240"/>
          </w:cols>
          <w:pgMar w:left="320" w:top="1427"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p>
      <w:pPr>
        <w:spacing w:after="0" w:line="75" w:lineRule="exact"/>
        <w:rPr>
          <w:sz w:val="20"/>
          <w:szCs w:val="20"/>
          <w:color w:val="auto"/>
        </w:rPr>
      </w:pPr>
    </w:p>
    <w:p>
      <w:pPr>
        <w:sectPr>
          <w:pgSz w:w="11900" w:h="16838" w:orient="portrait"/>
          <w:cols w:equalWidth="0" w:num="2">
            <w:col w:w="7740" w:space="720"/>
            <w:col w:w="2780"/>
          </w:cols>
          <w:pgMar w:left="320" w:top="142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Assistances Controles Technologies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Controles Industriels de L'entang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GMA Aeronautica S.L.U.</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GMA Holding B.V.</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GMA Werkstoffprufung GmbH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Arizona Inspection Services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Canada,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B.V.</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BVBA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Holding GmbH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Hellas A.B.E.E.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Limited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SAS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International Holdings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KAA Partners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Mexico Holdings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Onstream S. de R.L. de C.V.</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Quebec Holdings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Ropeworks Training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Services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South America Ltda.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Western Canada Holdings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MWC Management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NDT do Brasil Ltd.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Onstream Pipeline Inspection Services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Physical Acoustics India Private Ltd.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Quality Services Laboratories, Inc. (1)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QSL NDT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QSL Quebec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R.A.C. Group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Rope Access Calgary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England and Wales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ectPr>
          <w:pgSz w:w="11900" w:h="16838" w:orient="portrait"/>
          <w:cols w:equalWidth="0" w:num="2">
            <w:col w:w="7740" w:space="720"/>
            <w:col w:w="2780"/>
          </w:cols>
          <w:pgMar w:left="320" w:top="1427" w:right="3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Also does business under the names QSL and QSL Plus.</w:t>
      </w:r>
    </w:p>
    <w:p>
      <w:pPr>
        <w:sectPr>
          <w:pgSz w:w="11900" w:h="16838" w:orient="portrait"/>
          <w:cols w:equalWidth="0" w:num="1">
            <w:col w:w="11240"/>
          </w:cols>
          <w:pgMar w:left="320" w:top="1427" w:right="339" w:bottom="1440" w:gutter="0" w:footer="0" w:header="0"/>
          <w:type w:val="continuous"/>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333-217047, 333-254369, 333-266573 and 333-279629) of Mistras Group, Inc. of our report dated March 11, 2025 relating to the financial statements and the effectiveness of internal control over financial reporting, which appears in this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rPr>
          <w:sz w:val="20"/>
          <w:szCs w:val="20"/>
          <w:color w:val="auto"/>
        </w:rPr>
      </w:pPr>
      <w:r>
        <w:rPr>
          <w:rFonts w:ascii="Times New Roman" w:cs="Times New Roman" w:eastAsia="Times New Roman" w:hAnsi="Times New Roman"/>
          <w:sz w:val="18"/>
          <w:szCs w:val="18"/>
          <w:color w:val="auto"/>
        </w:rPr>
        <w:t>March 11, 2025</w:t>
      </w:r>
    </w:p>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333-217047, 333-254369, 333-266573 and 333-279629) on Form S-8 of our report dated March 15, 2023 except for Note 19, as to which the date is March 11, 2025, with respect to the consolidated financial statements of Mistras Group, Inc.</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Hills,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0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Natalia Shuman-Fabbri, certify that:</w:t>
      </w:r>
    </w:p>
    <w:p>
      <w:pPr>
        <w:spacing w:after="0" w:line="225"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Mistras Group,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3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80" w:firstLine="8"/>
        <w:spacing w:after="0" w:line="282" w:lineRule="auto"/>
        <w:tabs>
          <w:tab w:leader="none" w:pos="3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3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8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95"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3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8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ectPr>
          <w:pgSz w:w="11900" w:h="16838" w:orient="portrait"/>
          <w:cols w:equalWidth="0" w:num="1">
            <w:col w:w="11240"/>
          </w:cols>
          <w:pgMar w:left="320" w:top="887" w:right="339" w:bottom="1440" w:gutter="0" w:footer="0" w:header="0"/>
        </w:sectPr>
      </w:pPr>
    </w:p>
    <w:bookmarkStart w:id="108" w:name="page109"/>
    <w:bookmarkEnd w:id="108"/>
    <w:p>
      <w:pPr>
        <w:ind w:left="3680"/>
        <w:spacing w:after="0"/>
        <w:tabs>
          <w:tab w:leader="none" w:pos="4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17145</wp:posOffset>
            </wp:positionV>
            <wp:extent cx="28200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9019"/>
          </w:cols>
          <w:pgMar w:left="1440" w:top="1147" w:right="1440"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20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225"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Mistras Group,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3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80" w:firstLine="8"/>
        <w:spacing w:after="0" w:line="282" w:lineRule="auto"/>
        <w:tabs>
          <w:tab w:leader="none" w:pos="3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3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95"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3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pacing w:after="0" w:line="266" w:lineRule="exact"/>
        <w:rPr>
          <w:sz w:val="20"/>
          <w:szCs w:val="20"/>
          <w:color w:val="auto"/>
        </w:rPr>
      </w:pPr>
    </w:p>
    <w:tbl>
      <w:tblPr>
        <w:tblLayout w:type="fixed"/>
        <w:tblInd w:w="55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J. Prajzner</w:t>
            </w:r>
          </w:p>
        </w:tc>
      </w:tr>
      <w:tr>
        <w:trPr>
          <w:trHeight w:val="218"/>
        </w:trPr>
        <w:tc>
          <w:tcPr>
            <w:tcW w:w="64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J. Prajzner</w:t>
            </w:r>
          </w:p>
        </w:tc>
      </w:tr>
      <w:tr>
        <w:trPr>
          <w:trHeight w:val="180"/>
        </w:trPr>
        <w:tc>
          <w:tcPr>
            <w:tcW w:w="640" w:type="dxa"/>
            <w:vAlign w:val="bottom"/>
          </w:tcPr>
          <w:p>
            <w:pPr>
              <w:spacing w:after="0"/>
              <w:rPr>
                <w:sz w:val="15"/>
                <w:szCs w:val="15"/>
                <w:color w:val="auto"/>
              </w:rPr>
            </w:pPr>
          </w:p>
        </w:tc>
        <w:tc>
          <w:tcPr>
            <w:tcW w:w="50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Sr. Executive Vice President, and Chief Financial Officer (Principal</w:t>
            </w:r>
          </w:p>
        </w:tc>
      </w:tr>
      <w:tr>
        <w:trPr>
          <w:trHeight w:val="234"/>
        </w:trPr>
        <w:tc>
          <w:tcPr>
            <w:tcW w:w="6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and Accounting Officer)</w:t>
            </w:r>
          </w:p>
        </w:tc>
      </w:tr>
    </w:tbl>
    <w:p>
      <w:pPr>
        <w:sectPr>
          <w:pgSz w:w="11900" w:h="16838" w:orient="portrait"/>
          <w:cols w:equalWidth="0" w:num="1">
            <w:col w:w="11240"/>
          </w:cols>
          <w:pgMar w:left="320" w:top="88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on Form 10-K of Mistras Group, Inc. (the Company) for the year ended December 31, 2024, I, Natalia Shuman-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Fabbri, President and Chief Executive Officer, hereby certify pursuant to 18 U.S.C. Section 1350, as adopted pursuant to Section 906 of the Sarbanes-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to the best of my knowledge and belief, that:</w:t>
      </w:r>
    </w:p>
    <w:p>
      <w:pPr>
        <w:spacing w:after="0" w:line="207" w:lineRule="exact"/>
        <w:rPr>
          <w:sz w:val="20"/>
          <w:szCs w:val="20"/>
          <w:color w:val="auto"/>
        </w:rPr>
      </w:pPr>
    </w:p>
    <w:p>
      <w:pPr>
        <w:ind w:right="180" w:firstLine="453"/>
        <w:spacing w:after="0" w:line="282"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Annual Report on Form 10-K for the year ended December 31, 2024,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240" w:firstLine="453"/>
        <w:spacing w:after="0" w:line="282"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Annual Report on Form 10-K for the year ended December 31, 2024, fairly presents, in all material respects, the financial condition and results of operations of the Company.</w:t>
      </w:r>
    </w:p>
    <w:p>
      <w:pPr>
        <w:spacing w:after="0" w:line="162"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such Annual Report on Form 10-K for the year ended December 31, 2024,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2025</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Natalia Shuman-Fabbri</w:t>
            </w:r>
          </w:p>
        </w:tc>
      </w:tr>
      <w:tr>
        <w:trPr>
          <w:trHeight w:val="218"/>
        </w:trPr>
        <w:tc>
          <w:tcPr>
            <w:tcW w:w="590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Natalia Shuman-Fabbri</w:t>
            </w:r>
          </w:p>
        </w:tc>
      </w:tr>
      <w:tr>
        <w:trPr>
          <w:trHeight w:val="230"/>
        </w:trPr>
        <w:tc>
          <w:tcPr>
            <w:tcW w:w="59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90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Mistras Group, Inc. (the Company) for the year ended December 31, 2024, I, Edward J. Prajzner, Principal Financial and Accounting Officer, hereby certify pursuant to 18 U.S.C. Section 1350, as adopted pursuant to Section 906 of the Sarbanes-Oxley Act of 2002, to the best of my knowledge and belief, that:</w:t>
      </w:r>
    </w:p>
    <w:p>
      <w:pPr>
        <w:spacing w:after="0" w:line="176" w:lineRule="exact"/>
        <w:rPr>
          <w:sz w:val="20"/>
          <w:szCs w:val="20"/>
          <w:color w:val="auto"/>
        </w:rPr>
      </w:pPr>
    </w:p>
    <w:p>
      <w:pPr>
        <w:ind w:right="180" w:firstLine="453"/>
        <w:spacing w:after="0" w:line="282" w:lineRule="auto"/>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Annual Report on Form 10-K for the year ended December 31, 2024,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240" w:firstLine="453"/>
        <w:spacing w:after="0" w:line="282" w:lineRule="auto"/>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Annual Report on Form 10-K for the year ended December 31, 2024, fairly presents, in all material respects, the financial condition and results of operations of the Company.</w:t>
      </w:r>
    </w:p>
    <w:p>
      <w:pPr>
        <w:spacing w:after="0" w:line="162"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such Annual Report on Form 10-K for the year ended December 31, 2024,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2025</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J. Prajzner</w:t>
            </w:r>
          </w:p>
        </w:tc>
      </w:tr>
      <w:tr>
        <w:trPr>
          <w:trHeight w:val="218"/>
        </w:trPr>
        <w:tc>
          <w:tcPr>
            <w:tcW w:w="5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Edward J. Prajzner</w:t>
            </w:r>
          </w:p>
        </w:tc>
      </w:tr>
      <w:tr>
        <w:trPr>
          <w:trHeight w:val="229"/>
        </w:trPr>
        <w:tc>
          <w:tcPr>
            <w:tcW w:w="518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Sr. Executive Vice President, and Chief Financial Officer</w:t>
            </w:r>
          </w:p>
        </w:tc>
      </w:tr>
      <w:tr>
        <w:trPr>
          <w:trHeight w:val="234"/>
        </w:trPr>
        <w:tc>
          <w:tcPr>
            <w:tcW w:w="51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240"/>
          </w:cols>
          <w:pgMar w:left="320" w:top="887"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color w:val="auto"/>
        </w:rPr>
        <w:t>MISTRAS GROUP,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INCENTIVE COMPENSATION RECOUPMENT POLICY</w:t>
      </w:r>
    </w:p>
    <w:p>
      <w:pPr>
        <w:spacing w:after="0" w:line="17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Incentive Compensation Recoupment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adopted by the Compensation Committee (the “</w:t>
      </w:r>
      <w:r>
        <w:rPr>
          <w:rFonts w:ascii="Times New Roman" w:cs="Times New Roman" w:eastAsia="Times New Roman" w:hAnsi="Times New Roman"/>
          <w:sz w:val="22"/>
          <w:szCs w:val="22"/>
          <w:b w:val="1"/>
          <w:bCs w:val="1"/>
          <w:i w:val="1"/>
          <w:iCs w:val="1"/>
          <w:color w:val="auto"/>
        </w:rPr>
        <w:t>Compensation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Mistras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on October 24, 2023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8"/>
        <w:spacing w:after="0" w:line="221" w:lineRule="auto"/>
        <w:tabs>
          <w:tab w:leader="none" w:pos="648"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r>
        <w:rPr>
          <w:rFonts w:ascii="Times New Roman" w:cs="Times New Roman" w:eastAsia="Times New Roman" w:hAnsi="Times New Roman"/>
          <w:sz w:val="22"/>
          <w:szCs w:val="22"/>
          <w:color w:val="auto"/>
        </w:rPr>
        <w:t>. The purpose of this Policy is to provide for the recoupment of certain incentive compensation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954 of the Dodd-Frank Wall Street Reform and Consumer Protection Act of 2010, in the manner required by Section 10D of the Securities Exchange Act of 1934, as amended (the “</w:t>
      </w:r>
      <w:r>
        <w:rPr>
          <w:rFonts w:ascii="Times New Roman" w:cs="Times New Roman" w:eastAsia="Times New Roman" w:hAnsi="Times New Roman"/>
          <w:sz w:val="22"/>
          <w:szCs w:val="22"/>
          <w:b w:val="1"/>
          <w:bCs w:val="1"/>
          <w:i w:val="1"/>
          <w:iCs w:val="1"/>
          <w:color w:val="auto"/>
        </w:rPr>
        <w:t>Exchange Ac</w:t>
      </w:r>
      <w:r>
        <w:rPr>
          <w:rFonts w:ascii="Times New Roman" w:cs="Times New Roman" w:eastAsia="Times New Roman" w:hAnsi="Times New Roman"/>
          <w:sz w:val="22"/>
          <w:szCs w:val="22"/>
          <w:color w:val="auto"/>
        </w:rPr>
        <w:t>t”), Rule 10D-1 promulgated thereunder, and the Listing Standards (as defined below) (collectively, the “</w:t>
      </w:r>
      <w:r>
        <w:rPr>
          <w:rFonts w:ascii="Times New Roman" w:cs="Times New Roman" w:eastAsia="Times New Roman" w:hAnsi="Times New Roman"/>
          <w:sz w:val="22"/>
          <w:szCs w:val="22"/>
          <w:b w:val="1"/>
          <w:bCs w:val="1"/>
          <w:i w:val="1"/>
          <w:iCs w:val="1"/>
          <w:color w:val="auto"/>
        </w:rPr>
        <w:t>Dodd-Frank Rules</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b w:val="1"/>
          <w:bCs w:val="1"/>
          <w:color w:val="auto"/>
        </w:rPr>
      </w:pPr>
    </w:p>
    <w:p>
      <w:pPr>
        <w:ind w:right="20" w:firstLine="8"/>
        <w:spacing w:after="0" w:line="238" w:lineRule="auto"/>
        <w:tabs>
          <w:tab w:leader="none" w:pos="648"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This Policy shall be administered by the Compensation Committee. Any determinations made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Committee shall be final and binding on all affected individuals.</w:t>
      </w:r>
    </w:p>
    <w:p>
      <w:pPr>
        <w:spacing w:after="0" w:line="14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For purposes of this Policy, the following capitalized terms shall have the meanings set forth below.</w:t>
      </w:r>
    </w:p>
    <w:p>
      <w:pPr>
        <w:spacing w:after="0" w:line="177" w:lineRule="exact"/>
        <w:rPr>
          <w:rFonts w:ascii="Times New Roman" w:cs="Times New Roman" w:eastAsia="Times New Roman" w:hAnsi="Times New Roman"/>
          <w:sz w:val="22"/>
          <w:szCs w:val="22"/>
          <w:b w:val="1"/>
          <w:bCs w:val="1"/>
          <w:color w:val="auto"/>
        </w:rPr>
      </w:pPr>
    </w:p>
    <w:p>
      <w:pPr>
        <w:jc w:val="both"/>
        <w:ind w:firstLine="656"/>
        <w:spacing w:after="0" w:line="218" w:lineRule="auto"/>
        <w:tabs>
          <w:tab w:leader="none" w:pos="12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Restatement</w:t>
      </w:r>
      <w:r>
        <w:rPr>
          <w:rFonts w:ascii="Times New Roman" w:cs="Times New Roman" w:eastAsia="Times New Roman" w:hAnsi="Times New Roman"/>
          <w:sz w:val="22"/>
          <w:szCs w:val="22"/>
          <w:color w:val="auto"/>
        </w:rPr>
        <w:t>” shall mean an accounting restatement of the Company’s financial statements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i w:val="1"/>
          <w:iCs w:val="1"/>
          <w:color w:val="auto"/>
        </w:rPr>
        <w:t>Big R</w:t>
      </w:r>
      <w:r>
        <w:rPr>
          <w:rFonts w:ascii="Times New Roman" w:cs="Times New Roman" w:eastAsia="Times New Roman" w:hAnsi="Times New Roman"/>
          <w:sz w:val="22"/>
          <w:szCs w:val="22"/>
          <w:color w:val="auto"/>
        </w:rPr>
        <w:t>” restatement), or (ii) that would result in a material misstatement if the error were corrected in the current period or left uncorrected in the current period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i w:val="1"/>
          <w:iCs w:val="1"/>
          <w:color w:val="auto"/>
        </w:rPr>
        <w:t>little r</w:t>
      </w:r>
      <w:r>
        <w:rPr>
          <w:rFonts w:ascii="Times New Roman" w:cs="Times New Roman" w:eastAsia="Times New Roman" w:hAnsi="Times New Roman"/>
          <w:sz w:val="22"/>
          <w:szCs w:val="22"/>
          <w:color w:val="auto"/>
        </w:rPr>
        <w:t>” restatement).</w:t>
      </w:r>
    </w:p>
    <w:p>
      <w:pPr>
        <w:spacing w:after="0" w:line="147" w:lineRule="exact"/>
        <w:rPr>
          <w:rFonts w:ascii="Times New Roman" w:cs="Times New Roman" w:eastAsia="Times New Roman" w:hAnsi="Times New Roman"/>
          <w:sz w:val="22"/>
          <w:szCs w:val="22"/>
          <w:color w:val="auto"/>
        </w:rPr>
      </w:pPr>
    </w:p>
    <w:p>
      <w:pPr>
        <w:ind w:firstLine="656"/>
        <w:spacing w:after="0" w:line="239" w:lineRule="auto"/>
        <w:tabs>
          <w:tab w:leader="none" w:pos="129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shall mean each entity that directly or indirectly controls, is controlled by, or is under common control with the Company.</w:t>
      </w:r>
    </w:p>
    <w:p>
      <w:pPr>
        <w:spacing w:after="0" w:line="144"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3"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Clawback Eligible Incentive Compensation</w:t>
      </w:r>
      <w:r>
        <w:rPr>
          <w:rFonts w:ascii="Times New Roman" w:cs="Times New Roman" w:eastAsia="Times New Roman" w:hAnsi="Times New Roman"/>
          <w:sz w:val="21"/>
          <w:szCs w:val="21"/>
          <w:color w:val="auto"/>
        </w:rPr>
        <w:t>” shall mean Incentive-Based Compensation Received by a Covered Executive (i) on or after the Effective Date, (ii) after beginning service as a Covered Executive, (iii) if such individual served as a Covered Executive at any time during the performance period for such Incentive-Based Compensation (irrespective of whether such individual continued to serve as a Covered Executive upon or following the Restatement Trigger Date), (iv) while the Company has a class of securities listed on a national securities exchange or a national securities association, and (v) during the applicable Clawback Period. For the avoidance of doubt, Incentive-Based Compensation Received by a Covered Executive on or after the Effective Date could, by the terms of this Policy, include amounts approved, awarded, or granted prior to such date.</w:t>
      </w:r>
    </w:p>
    <w:p>
      <w:pPr>
        <w:spacing w:after="0" w:line="150" w:lineRule="exact"/>
        <w:rPr>
          <w:rFonts w:ascii="Times New Roman" w:cs="Times New Roman" w:eastAsia="Times New Roman" w:hAnsi="Times New Roman"/>
          <w:sz w:val="21"/>
          <w:szCs w:val="21"/>
          <w:color w:val="auto"/>
        </w:rPr>
      </w:pPr>
    </w:p>
    <w:p>
      <w:pPr>
        <w:jc w:val="both"/>
        <w:ind w:firstLine="656"/>
        <w:spacing w:after="0" w:line="218" w:lineRule="auto"/>
        <w:tabs>
          <w:tab w:leader="none" w:pos="129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Period</w:t>
      </w:r>
      <w:r>
        <w:rPr>
          <w:rFonts w:ascii="Times New Roman" w:cs="Times New Roman" w:eastAsia="Times New Roman" w:hAnsi="Times New Roman"/>
          <w:sz w:val="22"/>
          <w:szCs w:val="22"/>
          <w:color w:val="auto"/>
        </w:rPr>
        <w:t>” shall mean, with respect to any Accounting Restatement, the three completed fiscal years of the Company immediately preceding the Restatement Trigger Date and any transition period (that results from a change in the Company’s fiscal year) within or immediately following those three completed fiscal years (except that a transition period between the last day of the Company’s previous fiscal year end and the first day of its new fiscal year that comprises a period of at least nine months shall count as a completed fiscal year).</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shall mean the Company and its Affiliates.</w:t>
      </w:r>
    </w:p>
    <w:p>
      <w:pPr>
        <w:spacing w:after="0" w:line="179" w:lineRule="exact"/>
        <w:rPr>
          <w:rFonts w:ascii="Times New Roman" w:cs="Times New Roman" w:eastAsia="Times New Roman" w:hAnsi="Times New Roman"/>
          <w:sz w:val="22"/>
          <w:szCs w:val="22"/>
          <w:color w:val="auto"/>
        </w:rPr>
      </w:pPr>
    </w:p>
    <w:p>
      <w:pPr>
        <w:ind w:right="20" w:firstLine="656"/>
        <w:spacing w:after="0" w:line="239" w:lineRule="auto"/>
        <w:tabs>
          <w:tab w:leader="none" w:pos="129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Executive</w:t>
      </w:r>
      <w:r>
        <w:rPr>
          <w:rFonts w:ascii="Times New Roman" w:cs="Times New Roman" w:eastAsia="Times New Roman" w:hAnsi="Times New Roman"/>
          <w:sz w:val="22"/>
          <w:szCs w:val="22"/>
          <w:color w:val="auto"/>
        </w:rPr>
        <w:t>” shall mean any “executive officer” of the Company as defined under the Dodd-Frank Rules, and, for the avoidance of doubt, includes each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October 24, 2023]</w:t>
      </w:r>
    </w:p>
    <w:p>
      <w:pPr>
        <w:sectPr>
          <w:pgSz w:w="11900" w:h="16838" w:orient="portrait"/>
          <w:cols w:equalWidth="0" w:num="1">
            <w:col w:w="11240"/>
          </w:cols>
          <w:pgMar w:left="320" w:top="139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identified as an executive officer of the Company in accordance with Item 401(b) of Regulation S-K under the Exchange Act.</w:t>
      </w:r>
    </w:p>
    <w:p>
      <w:pPr>
        <w:spacing w:after="0" w:line="173" w:lineRule="exact"/>
        <w:rPr>
          <w:sz w:val="20"/>
          <w:szCs w:val="20"/>
          <w:color w:val="auto"/>
        </w:rPr>
      </w:pPr>
    </w:p>
    <w:p>
      <w:pPr>
        <w:jc w:val="both"/>
        <w:ind w:firstLine="656"/>
        <w:spacing w:after="0" w:line="216" w:lineRule="auto"/>
        <w:tabs>
          <w:tab w:leader="none" w:pos="129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shall mean the amount of Clawback Eligible Incentive Compensation that exceeds the amount of Incentive-Based Compensation that otherwise would have been Received had it been determined based on the restated amounts, computed without regard to any taxes paid. With respect to any compensation plan or program that takes into account Incentive-Based Compensation, the amount contributed to a notional account that exceeds the amount that otherwise would have been contributed had it been determined based on the restated amount, computed without regard to any taxes paid, shall be considered Erroneously Awarded Compensation, along with earnings accrued on that notional amount.</w:t>
      </w:r>
    </w:p>
    <w:p>
      <w:pPr>
        <w:spacing w:after="0" w:line="14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shall mean the New York Stock Exchange, on which the Company’s securities are listed.</w:t>
      </w:r>
    </w:p>
    <w:p>
      <w:pPr>
        <w:spacing w:after="0" w:line="179"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Measures</w:t>
      </w:r>
      <w:r>
        <w:rPr>
          <w:rFonts w:ascii="Times New Roman" w:cs="Times New Roman" w:eastAsia="Times New Roman" w:hAnsi="Times New Roman"/>
          <w:sz w:val="22"/>
          <w:szCs w:val="22"/>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measure need not be presented in the Company’s financial statements or included in a filing with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in order to be considered a Financial Reporting Measure.</w:t>
      </w:r>
    </w:p>
    <w:p>
      <w:pPr>
        <w:spacing w:after="0" w:line="145" w:lineRule="exact"/>
        <w:rPr>
          <w:rFonts w:ascii="Times New Roman" w:cs="Times New Roman" w:eastAsia="Times New Roman" w:hAnsi="Times New Roman"/>
          <w:sz w:val="22"/>
          <w:szCs w:val="22"/>
          <w:color w:val="auto"/>
        </w:rPr>
      </w:pPr>
    </w:p>
    <w:p>
      <w:pPr>
        <w:ind w:firstLine="656"/>
        <w:spacing w:after="0" w:line="239" w:lineRule="auto"/>
        <w:tabs>
          <w:tab w:leader="none" w:pos="128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shall mean any compensation that is granted, earned or vested based wholly or in part upon the attainment of a Financial Reporting Measure.</w:t>
      </w:r>
    </w:p>
    <w:p>
      <w:pPr>
        <w:spacing w:after="0" w:line="14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Listing Standards</w:t>
      </w:r>
      <w:r>
        <w:rPr>
          <w:rFonts w:ascii="Times New Roman" w:cs="Times New Roman" w:eastAsia="Times New Roman" w:hAnsi="Times New Roman"/>
          <w:sz w:val="22"/>
          <w:szCs w:val="22"/>
          <w:color w:val="auto"/>
        </w:rPr>
        <w:t>” shall mean Section 303A.14 of the New York Stock Exchange Listed Company Manual.</w:t>
      </w:r>
    </w:p>
    <w:p>
      <w:pPr>
        <w:spacing w:after="0" w:line="179" w:lineRule="exact"/>
        <w:rPr>
          <w:rFonts w:ascii="Times New Roman" w:cs="Times New Roman" w:eastAsia="Times New Roman" w:hAnsi="Times New Roman"/>
          <w:sz w:val="22"/>
          <w:szCs w:val="22"/>
          <w:color w:val="auto"/>
        </w:rPr>
      </w:pPr>
    </w:p>
    <w:p>
      <w:pPr>
        <w:jc w:val="both"/>
        <w:ind w:firstLine="656"/>
        <w:spacing w:after="0" w:line="222" w:lineRule="auto"/>
        <w:tabs>
          <w:tab w:leader="none" w:pos="128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shall mean the deemed receipt of Incentive-Based Compensation. Incentive-Based Compensation shall be deemed received for this purpose in the Company’s fiscal period during which the Financial Reporting Measure specified in the applicable Incentive-Based Compensation award is attained, even if payment or grant of the Incentive-Based Compensation occurs after the end of that period.</w:t>
      </w:r>
    </w:p>
    <w:p>
      <w:pPr>
        <w:spacing w:after="0" w:line="143" w:lineRule="exact"/>
        <w:rPr>
          <w:rFonts w:ascii="Times New Roman" w:cs="Times New Roman" w:eastAsia="Times New Roman" w:hAnsi="Times New Roman"/>
          <w:sz w:val="22"/>
          <w:szCs w:val="22"/>
          <w:color w:val="auto"/>
        </w:rPr>
      </w:pPr>
    </w:p>
    <w:p>
      <w:pPr>
        <w:jc w:val="both"/>
        <w:ind w:firstLine="656"/>
        <w:spacing w:after="0" w:line="222" w:lineRule="auto"/>
        <w:tabs>
          <w:tab w:leader="none" w:pos="128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 Trigger Date</w:t>
      </w:r>
      <w:r>
        <w:rPr>
          <w:rFonts w:ascii="Times New Roman" w:cs="Times New Roman" w:eastAsia="Times New Roman" w:hAnsi="Times New Roman"/>
          <w:sz w:val="22"/>
          <w:szCs w:val="22"/>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45" w:lineRule="exact"/>
        <w:rPr>
          <w:rFonts w:ascii="Times New Roman" w:cs="Times New Roman" w:eastAsia="Times New Roman" w:hAnsi="Times New Roman"/>
          <w:sz w:val="22"/>
          <w:szCs w:val="22"/>
          <w:color w:val="auto"/>
        </w:rPr>
      </w:pPr>
    </w:p>
    <w:p>
      <w:pPr>
        <w:jc w:val="both"/>
        <w:ind w:firstLine="8"/>
        <w:spacing w:after="0" w:line="221" w:lineRule="auto"/>
        <w:tabs>
          <w:tab w:leader="none" w:pos="6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Recoupment of Erroneously Awarded Compensation</w:t>
      </w:r>
      <w:r>
        <w:rPr>
          <w:rFonts w:ascii="Times New Roman" w:cs="Times New Roman" w:eastAsia="Times New Roman" w:hAnsi="Times New Roman"/>
          <w:sz w:val="22"/>
          <w:szCs w:val="22"/>
          <w:color w:val="auto"/>
        </w:rPr>
        <w:t>. Upon the occurrence of a Restatement Trigger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shall recoup Erroneously Awarded Compensation reasonably promptly, in the manner described below. For the avoidance of doubt, the Company’s obligation to recover Erroneously Awarded Compensation under this Policy is not dependent on, if or when restated financial statements are filed following the Restatement Trigger Date.</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Process. </w:t>
      </w:r>
      <w:r>
        <w:rPr>
          <w:rFonts w:ascii="Times New Roman" w:cs="Times New Roman" w:eastAsia="Times New Roman" w:hAnsi="Times New Roman"/>
          <w:sz w:val="22"/>
          <w:szCs w:val="22"/>
          <w:color w:val="auto"/>
        </w:rPr>
        <w:t>The Compensation Committee shall use the following process for recoupment: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14" w:name="page115"/>
    <w:bookmarkEnd w:id="114"/>
    <w:p>
      <w:pPr>
        <w:jc w:val="both"/>
        <w:ind w:firstLine="1304"/>
        <w:spacing w:after="0" w:line="224" w:lineRule="auto"/>
        <w:tabs>
          <w:tab w:leader="none" w:pos="1932"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the Compensation Committee will determine the amount of any Erroneously Awarded Compensation for each Covered Executive in connection with such Accounting Restatement.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Compensation Committee based on a reasonable estimate of the effect of the Accounting Restatement on the stock price or total shareholder return upon which the Incentive-Based Compensation was Received (in which case, the Company shall maintain documentation of the determination of that reasonable estimate and provide such documentation to the Exchange).</w:t>
      </w:r>
    </w:p>
    <w:p>
      <w:pPr>
        <w:spacing w:after="0" w:line="150"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the Compensation Committee will provide each affected Covered Executive with a written notice stating the amount of the Erroneously Awarded Compensation, a demand for recoupment, and the means of recoupment that the Company will accept.</w:t>
      </w:r>
    </w:p>
    <w:p>
      <w:pPr>
        <w:spacing w:after="0" w:line="146"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Means of Recoupment. </w:t>
      </w:r>
      <w:r>
        <w:rPr>
          <w:rFonts w:ascii="Times New Roman" w:cs="Times New Roman" w:eastAsia="Times New Roman" w:hAnsi="Times New Roman"/>
          <w:sz w:val="22"/>
          <w:szCs w:val="22"/>
          <w:color w:val="auto"/>
        </w:rPr>
        <w:t>The Compensation Committee shall have discretion to determine the appropriate means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recoupment of Erroneously Awarded Compensation, which may include without limitation: (i) recoupment of cash or shares of Company stock, (ii) forfeiture of unvested cash or equity awards (including those subject to service-based and/or performance-based vesting conditions), (iii) cancellation of outstanding vested cash or equity awards (including those for which service-based and/or performance-based vesting conditions have been satisfied), (iv) to the extent consistent with Section 409A of the Internal Revenue Code of 1986, as amended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offset of other amounts owed to the Covered Executive or forfeiture of deferred compensation, (v) reduction of future compensation, and (vi) any other remedial or recovery action permitted by law. Notwithstanding the foregoing, the Company Group makes no guarantee as to the treatment of such amounts under Section 409A, and shall have no liability with respect thereto. For the avoidance of doubt, appropriate means of recoupment pursuant to this Section 4(b) may include amounts approved, awarded, or granted prior to the Effective Date. Except as set forth in Section 4(d) below, in no event may the Company Group accept an amount that is less than the amount of Erroneously Awarded Compensation in satisfaction of a Covered Executive’s obligations hereunder.</w:t>
      </w:r>
    </w:p>
    <w:p>
      <w:pPr>
        <w:spacing w:after="0" w:line="151"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Failure to Repay. </w:t>
      </w:r>
      <w:r>
        <w:rPr>
          <w:rFonts w:ascii="Times New Roman" w:cs="Times New Roman" w:eastAsia="Times New Roman" w:hAnsi="Times New Roman"/>
          <w:sz w:val="22"/>
          <w:szCs w:val="22"/>
          <w:color w:val="auto"/>
        </w:rPr>
        <w:t>To the extent that a Covered Executive fails to repay all Erroneously Awarded Compensation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Group when due (as determined in accordance with Section 4(a) above), the Company shall, or shall cause one or more other members of the Company Group to, take all actions reasonable and appropriate to recoup such Erroneously Awarded Compensation from the Covered Executive. The Covered Executive shall be required to reimburse the Company Group for all expenses reasonably incurred (including legal fees) by the Company Group in recouping such Erroneously Awarded Compensation.</w:t>
      </w:r>
    </w:p>
    <w:p>
      <w:pPr>
        <w:spacing w:after="0" w:line="14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Exceptions. </w:t>
      </w:r>
      <w:r>
        <w:rPr>
          <w:rFonts w:ascii="Times New Roman" w:cs="Times New Roman" w:eastAsia="Times New Roman" w:hAnsi="Times New Roman"/>
          <w:sz w:val="22"/>
          <w:szCs w:val="22"/>
          <w:color w:val="auto"/>
        </w:rPr>
        <w:t>Notwithstanding anything herein to the contrary, the Company shall not be required to recoup</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Erroneously Awarded Compensation if one of the following conditions is met and the Compensation Committee determines that recoupment would be impracticable: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against a Covered Executive would exceed the amount to be recouped, after the Company has made a reasonable attempt to recoup the Erroneously Awarded Compensation, documented such attempts, and provided such documentation to the Exchange;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Recoupment would violate home country law where that law was adopted prior to November 28, 2022, provided that, before determining that it would be impracticable to recoup any amount of Erroneously Awarded Compensation based on violation of home country law, the Company has obtained an opinion of home country counsel, acceptable to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that recoupment would result in such a violation and a copy of the opinion is provided to the Exchange; or</w:t>
      </w:r>
    </w:p>
    <w:p>
      <w:pPr>
        <w:spacing w:after="0" w:line="179" w:lineRule="exact"/>
        <w:rPr>
          <w:sz w:val="20"/>
          <w:szCs w:val="20"/>
          <w:color w:val="auto"/>
        </w:rPr>
      </w:pPr>
    </w:p>
    <w:p>
      <w:pPr>
        <w:jc w:val="both"/>
        <w:ind w:firstLine="1304"/>
        <w:spacing w:after="0" w:line="225" w:lineRule="auto"/>
        <w:tabs>
          <w:tab w:leader="none" w:pos="194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Recoupment would likely cause an otherwise tax-qualified retirement plan, under which benefits are broadly available to employees, to fail to meet the requirements of 26 U.S.C. 401(a)(13) or 26 U.S.C. 411(a) and regulations thereunder.</w:t>
      </w:r>
    </w:p>
    <w:p>
      <w:pPr>
        <w:spacing w:after="0" w:line="148" w:lineRule="exact"/>
        <w:rPr>
          <w:rFonts w:ascii="Times New Roman" w:cs="Times New Roman" w:eastAsia="Times New Roman" w:hAnsi="Times New Roman"/>
          <w:sz w:val="22"/>
          <w:szCs w:val="22"/>
          <w:color w:val="auto"/>
        </w:rPr>
      </w:pPr>
    </w:p>
    <w:p>
      <w:pPr>
        <w:ind w:right="20" w:firstLine="8"/>
        <w:spacing w:after="0" w:line="238" w:lineRule="auto"/>
        <w:tabs>
          <w:tab w:leader="none" w:pos="64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and Disclosure</w:t>
      </w:r>
      <w:r>
        <w:rPr>
          <w:rFonts w:ascii="Times New Roman" w:cs="Times New Roman" w:eastAsia="Times New Roman" w:hAnsi="Times New Roman"/>
          <w:sz w:val="22"/>
          <w:szCs w:val="22"/>
          <w:color w:val="auto"/>
        </w:rPr>
        <w:t>. The Company shall file all disclosures with respect to this Policy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the Dodd-Frank Rules.</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18" w:lineRule="auto"/>
        <w:tabs>
          <w:tab w:leader="none" w:pos="64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Indemnification Permitted</w:t>
      </w:r>
      <w:r>
        <w:rPr>
          <w:rFonts w:ascii="Times New Roman" w:cs="Times New Roman" w:eastAsia="Times New Roman" w:hAnsi="Times New Roman"/>
          <w:sz w:val="22"/>
          <w:szCs w:val="22"/>
          <w:color w:val="auto"/>
        </w:rPr>
        <w:t>. No member of the Company Group shall be permitted to indemnify any current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former Covered Executive against (i) the loss of any Erroneously Awarded Compensation that is recouped pursuant to the terms of this Policy, or (ii) any claims relating to the Company Group’s enforcement of its rights under this Policy. The Company may not pay or reimburse any Covered Executive for the cost of third-party insurance purchased by a Covered Executive to fund potential recoupment obligations under this Policy.</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28" w:lineRule="auto"/>
        <w:tabs>
          <w:tab w:leader="none" w:pos="648"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Acknowledgmen</w:t>
      </w:r>
      <w:r>
        <w:rPr>
          <w:rFonts w:ascii="Times New Roman" w:cs="Times New Roman" w:eastAsia="Times New Roman" w:hAnsi="Times New Roman"/>
          <w:sz w:val="21"/>
          <w:szCs w:val="21"/>
          <w:color w:val="auto"/>
        </w:rPr>
        <w:t>t. If required by the Compensation Committee, each Covered Executive shall be required to sign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return to the Company the acknowledgement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such other acknowledgement form authorized by the Compensation Committee) pursuant to which the Covered Executive will agree to be bound by the terms of, and comply with, this Policy. However, for the avoidance of doubt, each Covered Executive will be fully bound by, and must comply with, the Policy, whether or not such Covered Executive has executed and returned an acknowledgment form to the Company.</w:t>
      </w:r>
    </w:p>
    <w:p>
      <w:pPr>
        <w:spacing w:after="0" w:line="148" w:lineRule="exact"/>
        <w:rPr>
          <w:rFonts w:ascii="Times New Roman" w:cs="Times New Roman" w:eastAsia="Times New Roman" w:hAnsi="Times New Roman"/>
          <w:sz w:val="21"/>
          <w:szCs w:val="21"/>
          <w:b w:val="1"/>
          <w:bCs w:val="1"/>
          <w:color w:val="auto"/>
        </w:rPr>
      </w:pPr>
    </w:p>
    <w:p>
      <w:pPr>
        <w:jc w:val="both"/>
        <w:ind w:firstLine="8"/>
        <w:spacing w:after="0" w:line="218" w:lineRule="auto"/>
        <w:tabs>
          <w:tab w:leader="none" w:pos="64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Compensation Committee is authorized to interpret and construe this Policy and to make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determinations necessary, appropriate, or advisable for the administration of this Policy. The Compensation Committee intends that this Policy be interpreted consistent with the Dodd-Frank Rules. The Compensation Committee is authorized to retain any advisors or counsel it deems appropriate to assist the Compensation Committee with the fulfillment of its duties hereunder, and the Company shall pay all expenses related thereto.</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Termination</w:t>
      </w:r>
      <w:r>
        <w:rPr>
          <w:rFonts w:ascii="Times New Roman" w:cs="Times New Roman" w:eastAsia="Times New Roman" w:hAnsi="Times New Roman"/>
          <w:sz w:val="22"/>
          <w:szCs w:val="22"/>
          <w:color w:val="auto"/>
        </w:rPr>
        <w:t>. The Compensation Committee may amend or terminate this Policy from time to time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including as and when it determines that it is legally required to do so by any federal securities laws, SEC rule or the rules of any national securities exchange or national securities association on which the Company’s securities are listed.</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10" w:lineRule="auto"/>
        <w:tabs>
          <w:tab w:leader="none" w:pos="64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Recoupment Rights</w:t>
      </w:r>
      <w:r>
        <w:rPr>
          <w:rFonts w:ascii="Times New Roman" w:cs="Times New Roman" w:eastAsia="Times New Roman" w:hAnsi="Times New Roman"/>
          <w:sz w:val="22"/>
          <w:szCs w:val="22"/>
          <w:color w:val="auto"/>
        </w:rPr>
        <w:t>. The Compensation Committee intends that this Policy be applied to the fullest extent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The Compensation Committee may require that any employment agreement, equity award, cash incentive award, or any other agreement with a Covered Executive be conditioned on the Covered Executive’s agreement to abide by the terms of this Policy. Any right of recoupment under this Policy is in addition to, and not in lieu of, any other remedies or rights of recoupment that may be available to the Company Group, whether arising under law, regulation or rule, pursuant to the terms of any other policy of the Company Group, pursuant to any employment agreement, equity award, cash incentive award, or other plan or agreement applicable to a Covered Executive, or otherwise (the “</w:t>
      </w:r>
      <w:r>
        <w:rPr>
          <w:rFonts w:ascii="Times New Roman" w:cs="Times New Roman" w:eastAsia="Times New Roman" w:hAnsi="Times New Roman"/>
          <w:sz w:val="22"/>
          <w:szCs w:val="22"/>
          <w:b w:val="1"/>
          <w:bCs w:val="1"/>
          <w:i w:val="1"/>
          <w:iCs w:val="1"/>
          <w:color w:val="auto"/>
        </w:rPr>
        <w:t>Separate Clawback Rights</w:t>
      </w:r>
      <w:r>
        <w:rPr>
          <w:rFonts w:ascii="Times New Roman" w:cs="Times New Roman" w:eastAsia="Times New Roman" w:hAnsi="Times New Roman"/>
          <w:sz w:val="22"/>
          <w:szCs w:val="22"/>
          <w:color w:val="auto"/>
        </w:rPr>
        <w:t>”). Notwithstanding the foregoing, this Policy replaces and supersedes the Company’s existing incentive compensation recoupment policy for executive officer, effective July 19, 2016, but only with respect to Incentive-Based Compensation Received on or after the Effective Date. There shall be no duplication of recovery of the same Erroneously Awarded Compensation under this Policy and the Separate Clawback Rights,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16" w:name="page117"/>
    <w:bookmarkEnd w:id="116"/>
    <w:p>
      <w:pPr>
        <w:ind w:left="-8" w:firstLine="8"/>
        <w:spacing w:after="0" w:line="238" w:lineRule="auto"/>
        <w:tabs>
          <w:tab w:leader="none" w:pos="63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This Policy shall be binding and enforceable against all Covered Executives and their beneficiaries, heirs,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32"/>
          </w:cols>
          <w:pgMar w:left="328" w:top="1391"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MISTRAS GROUP.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INCENTIVE COMPENSATION RECOUPMENT POLICY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ACKNOWLEDGEMENT FORM</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By signing below, the undersigned acknowledges and confirms that the undersigned has received and reviewed a copy of the Mistras Group, Inc. Incentive Compensation Recoupment Policy, adopted October 24, 2023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Capitalized terms used but not otherwise defined in this Acknowledgement Form shall have the meanings ascribed to such terms in the Policy.</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By signing this Acknowledgement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20"/>
        <w:spacing w:after="0"/>
        <w:tabs>
          <w:tab w:leader="none" w:pos="4880" w:val="left"/>
        </w:tabs>
        <w:rPr>
          <w:sz w:val="20"/>
          <w:szCs w:val="20"/>
          <w:color w:val="auto"/>
        </w:rPr>
      </w:pPr>
      <w:r>
        <w:rPr>
          <w:rFonts w:ascii="Times New Roman" w:cs="Times New Roman" w:eastAsia="Times New Roman" w:hAnsi="Times New Roman"/>
          <w:sz w:val="22"/>
          <w:szCs w:val="22"/>
          <w:color w:val="auto"/>
        </w:rPr>
        <w:t>Sign:</w:t>
      </w:r>
      <w:r>
        <w:rPr>
          <w:sz w:val="20"/>
          <w:szCs w:val="20"/>
          <w:color w:val="auto"/>
        </w:rPr>
        <w:tab/>
      </w:r>
      <w:r>
        <w:rPr>
          <w:rFonts w:ascii="Times New Roman" w:cs="Times New Roman" w:eastAsia="Times New Roman" w:hAnsi="Times New Roman"/>
          <w:sz w:val="21"/>
          <w:szCs w:val="21"/>
          <w:color w:val="auto"/>
        </w:rPr>
        <w:t>_____________________________</w:t>
      </w:r>
    </w:p>
    <w:p>
      <w:pPr>
        <w:ind w:left="422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25" w:lineRule="exact"/>
        <w:rPr>
          <w:sz w:val="20"/>
          <w:szCs w:val="20"/>
          <w:color w:val="auto"/>
        </w:rPr>
      </w:pPr>
    </w:p>
    <w:p>
      <w:pPr>
        <w:ind w:left="42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162845986v1</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lvl w:ilvl="1">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lvl w:ilvl="1">
      <w:lvlJc w:val="left"/>
      <w:lvlText w:val="%2."/>
      <w:numFmt w:val="lowerLetter"/>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2"/>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lowerLetter"/>
      <w:start w:val="25"/>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2"/>
    </w:lvl>
  </w:abstractNum>
  <w:abstractNum w:abstractNumId="27">
    <w:nsid w:val="153EA438"/>
    <w:multiLevelType w:val="hybridMultilevel"/>
    <w:lvl w:ilvl="0">
      <w:lvlJc w:val="left"/>
      <w:lvlText w:val="%1."/>
      <w:numFmt w:val="decimal"/>
      <w:start w:val="3"/>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lowerRoman"/>
      <w:start w:val="1"/>
    </w:lvl>
  </w:abstractNum>
  <w:abstractNum w:abstractNumId="30">
    <w:nsid w:val="6A2342EC"/>
    <w:multiLevelType w:val="hybridMultilevel"/>
    <w:lvl w:ilvl="0">
      <w:lvlJc w:val="left"/>
      <w:lvlText w:val="(%1)"/>
      <w:numFmt w:val="lowerRoman"/>
      <w:start w:val="4"/>
    </w:lvl>
  </w:abstractNum>
  <w:abstractNum w:abstractNumId="31">
    <w:nsid w:val="2A487CB0"/>
    <w:multiLevelType w:val="hybridMultilevel"/>
    <w:lvl w:ilvl="0">
      <w:lvlJc w:val="left"/>
      <w:lvlText w:val="%1."/>
      <w:numFmt w:val="decimal"/>
      <w:start w:val="2"/>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5"/>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7"/>
    </w:lvl>
  </w:abstractNum>
  <w:abstractNum w:abstractNumId="36">
    <w:nsid w:val="7A6D8D3C"/>
    <w:multiLevelType w:val="hybridMultilevel"/>
    <w:lvl w:ilvl="0">
      <w:lvlJc w:val="left"/>
      <w:lvlText w:val="%1."/>
      <w:numFmt w:val="decimal"/>
      <w:start w:val="8"/>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1"/>
    </w:lvl>
  </w:abstractNum>
  <w:abstractNum w:abstractNumId="39">
    <w:nsid w:val="6DE91B18"/>
    <w:multiLevelType w:val="hybridMultilevel"/>
    <w:lvl w:ilvl="0">
      <w:lvlJc w:val="left"/>
      <w:lvlText w:val="%1."/>
      <w:numFmt w:val="decimal"/>
      <w:start w:val="1"/>
    </w:lvl>
    <w:lvl w:ilvl="1">
      <w:lvlJc w:val="left"/>
      <w:lvlText w:val="%2."/>
      <w:numFmt w:val="lowerLetter"/>
      <w:start w:val="1"/>
    </w:lvl>
  </w:abstractNum>
  <w:abstractNum w:abstractNumId="40">
    <w:nsid w:val="38437FDB"/>
    <w:multiLevelType w:val="hybridMultilevel"/>
    <w:lvl w:ilvl="0">
      <w:lvlJc w:val="left"/>
      <w:lvlText w:val="%1."/>
      <w:numFmt w:val="decimal"/>
      <w:start w:val="2"/>
    </w:lvl>
    <w:lvl w:ilvl="1">
      <w:lvlJc w:val="left"/>
      <w:lvlText w:val="%2."/>
      <w:numFmt w:val="lowerLetter"/>
      <w:start w:val="1"/>
    </w:lvl>
  </w:abstractNum>
  <w:abstractNum w:abstractNumId="41">
    <w:nsid w:val="7644A45C"/>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abstractNum>
  <w:abstractNum w:abstractNumId="42">
    <w:nsid w:val="32FFF902"/>
    <w:multiLevelType w:val="hybridMultilevel"/>
    <w:lvl w:ilvl="0">
      <w:lvlJc w:val="left"/>
      <w:lvlText w:val="%1."/>
      <w:numFmt w:val="decimal"/>
      <w:start w:val="1"/>
    </w:lvl>
    <w:lvl w:ilvl="1">
      <w:lvlJc w:val="left"/>
      <w:lvlText w:val="%2."/>
      <w:numFmt w:val="lowerLetter"/>
      <w:start w:val="1"/>
    </w:lvl>
  </w:abstractNum>
  <w:abstractNum w:abstractNumId="43">
    <w:nsid w:val="684A481A"/>
    <w:multiLevelType w:val="hybridMultilevel"/>
    <w:lvl w:ilvl="0">
      <w:lvlJc w:val="left"/>
      <w:lvlText w:val="%1."/>
      <w:numFmt w:val="decimal"/>
      <w:start w:val="1"/>
    </w:lvl>
    <w:lvl w:ilvl="1">
      <w:lvlJc w:val="left"/>
      <w:lvlText w:val="%2."/>
      <w:numFmt w:val="lowerLetter"/>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lvl w:ilvl="1">
      <w:lvlJc w:val="left"/>
      <w:lvlText w:val="(%2)"/>
      <w:numFmt w:val="lowerLetter"/>
      <w:start w:val="1"/>
    </w:lvl>
  </w:abstractNum>
  <w:abstractNum w:abstractNumId="47">
    <w:nsid w:val="1BA026FA"/>
    <w:multiLevelType w:val="hybridMultilevel"/>
    <w:lvl w:ilvl="0">
      <w:lvlJc w:val="left"/>
      <w:lvlText w:val="%1"/>
      <w:numFmt w:val="decimal"/>
      <w:start w:val="1"/>
    </w:lvl>
    <w:lvl w:ilvl="1">
      <w:lvlJc w:val="left"/>
      <w:lvlText w:val="(%2)"/>
      <w:numFmt w:val="lowerLetter"/>
      <w:start w:val="7"/>
    </w:lvl>
  </w:abstractNum>
  <w:abstractNum w:abstractNumId="48">
    <w:nsid w:val="79A1DEAA"/>
    <w:multiLevelType w:val="hybridMultilevel"/>
    <w:lvl w:ilvl="0">
      <w:lvlJc w:val="left"/>
      <w:lvlText w:val="%1."/>
      <w:numFmt w:val="decimal"/>
      <w:start w:val="4"/>
    </w:lvl>
    <w:lvl w:ilvl="1">
      <w:lvlJc w:val="left"/>
      <w:lvlText w:val="(%2)"/>
      <w:numFmt w:val="lowerLetter"/>
      <w:start w:val="1"/>
    </w:lvl>
  </w:abstractNum>
  <w:abstractNum w:abstractNumId="49">
    <w:nsid w:val="75C6C33A"/>
    <w:multiLevelType w:val="hybridMultilevel"/>
    <w:lvl w:ilvl="0">
      <w:lvlJc w:val="left"/>
      <w:lvlText w:val="%1"/>
      <w:numFmt w:val="lowerLetter"/>
      <w:start w:val="1"/>
    </w:lvl>
    <w:lvl w:ilvl="1">
      <w:lvlJc w:val="left"/>
      <w:lvlText w:val="(%2)"/>
      <w:numFmt w:val="lowerRoman"/>
      <w:start w:val="1"/>
    </w:lvl>
  </w:abstractNum>
  <w:abstractNum w:abstractNumId="50">
    <w:nsid w:val="12E685FB"/>
    <w:multiLevelType w:val="hybridMultilevel"/>
    <w:lvl w:ilvl="0">
      <w:lvlJc w:val="left"/>
      <w:lvlText w:val="(%1)"/>
      <w:numFmt w:val="lowerLetter"/>
      <w:start w:val="2"/>
    </w:lvl>
    <w:lvl w:ilvl="1">
      <w:lvlJc w:val="left"/>
      <w:lvlText w:val="(%2)"/>
      <w:numFmt w:val="lowerRoman"/>
      <w:start w:val="1"/>
    </w:lvl>
  </w:abstractNum>
  <w:abstractNum w:abstractNumId="51">
    <w:nsid w:val="70C6A529"/>
    <w:multiLevelType w:val="hybridMultilevel"/>
    <w:lvl w:ilvl="0">
      <w:lvlJc w:val="left"/>
      <w:lvlText w:val="%1"/>
      <w:numFmt w:val="decimal"/>
      <w:start w:val="1"/>
    </w:lvl>
    <w:lvl w:ilvl="1">
      <w:lvlJc w:val="left"/>
      <w:lvlText w:val="(%2)"/>
      <w:numFmt w:val="lowerRoman"/>
      <w:start w:val="3"/>
    </w:lvl>
  </w:abstractNum>
  <w:abstractNum w:abstractNumId="52">
    <w:nsid w:val="520EEDD1"/>
    <w:multiLevelType w:val="hybridMultilevel"/>
    <w:lvl w:ilvl="0">
      <w:lvlJc w:val="left"/>
      <w:lvlText w:val="%1."/>
      <w:numFmt w:val="decimal"/>
      <w:start w:val="5"/>
    </w:lvl>
    <w:lvl w:ilvl="1">
      <w:lvlJc w:val="left"/>
      <w:lvlText w:val="%2"/>
      <w:numFmt w:val="lowerRoman"/>
      <w:start w:val="1"/>
    </w:lvl>
  </w:abstractNum>
  <w:abstractNum w:abstractNumId="53">
    <w:nsid w:val="374A3FE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4"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01" Type="http://schemas.openxmlformats.org/officeDocument/2006/relationships/hyperlink" Target="https://www.sec.gov/Archives/edgar/data/1436126/000095012309044623/y02145a4exv3w1.htm" TargetMode="External"/><Relationship Id="rId102" Type="http://schemas.openxmlformats.org/officeDocument/2006/relationships/hyperlink" Target="https://www.sec.gov/Archives/edgar/data/1436126/000143612617000011/fy17q2exhibit31.htm" TargetMode="External"/><Relationship Id="rId103" Type="http://schemas.openxmlformats.org/officeDocument/2006/relationships/hyperlink" Target="https://www.sec.gov/Archives/edgar/data/1436126/000143612616000069/fy17q1exhibit31.htm" TargetMode="External"/><Relationship Id="rId105" Type="http://schemas.openxmlformats.org/officeDocument/2006/relationships/hyperlink" Target="https://www.sec.gov/Archives/edgar/data/0001436126/000143612620000018/a2019123110kexhibit42.htm" TargetMode="External"/><Relationship Id="rId106" Type="http://schemas.openxmlformats.org/officeDocument/2006/relationships/hyperlink" Target="https://www.sec.gov/Archives/edgar/data/1436126/000143612623000014/a01creditreealllone.htm" TargetMode="External"/><Relationship Id="rId107" Type="http://schemas.openxmlformats.org/officeDocument/2006/relationships/hyperlink" Target="https://www.sec.gov/Archives/edgar/data/1436126/000143612624000013/mistras-amendmentno1tocred.htm" TargetMode="External"/><Relationship Id="rId108" Type="http://schemas.openxmlformats.org/officeDocument/2006/relationships/hyperlink" Target="https://www.sec.gov/Archives/edgar/data/1436126/000095012309044623/y02145a4exv10w1.htm" TargetMode="External"/><Relationship Id="rId109" Type="http://schemas.openxmlformats.org/officeDocument/2006/relationships/hyperlink" Target="https://www.sec.gov/Archives/edgar/data/1436126/000162612916000819/my-def14a_090716.htm" TargetMode="External"/><Relationship Id="rId110" Type="http://schemas.openxmlformats.org/officeDocument/2006/relationships/hyperlink" Target="https://www.sec.gov/Archives/edgar/data/1436126/000143612620000064/exhibit102firstamendme.htm" TargetMode="External"/><Relationship Id="rId111" Type="http://schemas.openxmlformats.org/officeDocument/2006/relationships/hyperlink" Target="https://www.sec.gov/Archives/edgar/data/0001436126/000143612621000013/a20201231-amendmentno2to20.htm" TargetMode="External"/><Relationship Id="rId112" Type="http://schemas.openxmlformats.org/officeDocument/2006/relationships/hyperlink" Target="https://www.sec.gov/Archives/edgar/data/1436126/000143612622000044/a10qexhibit102-q22022.htm" TargetMode="External"/><Relationship Id="rId113" Type="http://schemas.openxmlformats.org/officeDocument/2006/relationships/hyperlink" Target="https://www.sec.gov/ix?doc=/Archives/edgar/data/1436126/000114036124017926/ny20018763x1_def14a.htm" TargetMode="External"/><Relationship Id="rId114" Type="http://schemas.openxmlformats.org/officeDocument/2006/relationships/hyperlink" Target="https://www.sec.gov/Archives/edgar/data/1436126/000143612620000044/exhibit102formofsenior.htm" TargetMode="External"/><Relationship Id="rId115" Type="http://schemas.openxmlformats.org/officeDocument/2006/relationships/hyperlink" Target="https://www.sec.gov/Archives/edgar/data/1436126/000143612618000027/sjv2-28x18employmentagreem.htm" TargetMode="External"/><Relationship Id="rId116" Type="http://schemas.openxmlformats.org/officeDocument/2006/relationships/hyperlink" Target="https://www.sec.gov/Archives/edgar/data/1436126/000143612623000024/exhibit102-q12023.htm" TargetMode="External"/><Relationship Id="rId117" Type="http://schemas.openxmlformats.org/officeDocument/2006/relationships/hyperlink" Target="https://www.sec.gov/Archives/edgar/data/1436126/000143612623000011/wolkseparationagreementcon.htm" TargetMode="External"/><Relationship Id="rId118" Type="http://schemas.openxmlformats.org/officeDocument/2006/relationships/hyperlink" Target="https://www.sec.gov/Archives/edgar/data/1436126/000143612623000052/dalterioagreement.htm" TargetMode="External"/><Relationship Id="rId119" Type="http://schemas.openxmlformats.org/officeDocument/2006/relationships/hyperlink" Target="https://www.sec.gov/ix?doc=/Archives/edgar/data/1436126/000143612624000025/mg-20231231.htm" TargetMode="External"/><Relationship Id="rId120" Type="http://schemas.openxmlformats.org/officeDocument/2006/relationships/hyperlink" Target="https://www.sec.gov/Archives/edgar/data/1436126/000143612623000042/mistras-interimceoemployme.htm" TargetMode="External"/><Relationship Id="rId121" Type="http://schemas.openxmlformats.org/officeDocument/2006/relationships/hyperlink" Target="https://www.sec.gov/Archives/edgar/data/1436126/000143612623000057/mistras-ceoseparationagree.htm" TargetMode="External"/><Relationship Id="rId122" Type="http://schemas.openxmlformats.org/officeDocument/2006/relationships/hyperlink" Target="https://www.sec.gov/ix?doc=/Archives/edgar/data/1436126/000143612624000035/mg-20240331.htm" TargetMode="External"/><Relationship Id="rId123" Type="http://schemas.openxmlformats.org/officeDocument/2006/relationships/hyperlink" Target="https://www.sec.gov/Archives/edgar/data/1436126/000143612624000071/shuman-fabbrixmistrasemplo.htm" TargetMode="External"/><Relationship Id="rId124" Type="http://schemas.openxmlformats.org/officeDocument/2006/relationships/hyperlink" Target="https://www.sec.gov/Archives/edgar/data/1436126/000143612625000010/prajzneremploymentagreemen.htm" TargetMode="External"/><Relationship Id="rId125" Type="http://schemas.openxmlformats.org/officeDocument/2006/relationships/hyperlink" Target="https://www.sec.gov/Archives/edgar/data/1436126/000143612625000008/mistras-employmentagreemen.htm" TargetMode="External"/><Relationship Id="rId126" Type="http://schemas.openxmlformats.org/officeDocument/2006/relationships/hyperlink" Target="https://www.sec.gov/Archives/edgar/data/1436126/000143612625000008/stamatakisstockoptionawar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2025-03-11T15:57:29Z</dcterms:created>
  <dcterms:modified xsi:type="dcterms:W3CDTF">2025-03-11T15:57:29Z</dcterms:modified>
</cp:coreProperties>
</file>