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August 31, 2011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transition period to</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2"/>
              </w:rPr>
              <w:t>195 Clarksville Road</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88"/>
              </w:rPr>
              <w:t>Princeton Junction, New Jersey</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08550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(609) 716-4000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00"/>
          </w:cols>
          <w:pgMar w:left="240" w:top="233" w:right="359" w:bottom="0" w:gutter="0" w:footer="0" w:header="0"/>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40"/>
          </w:cols>
          <w:pgMar w:left="240" w:top="233" w:right="35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20"/>
          </w:cols>
          <w:pgMar w:left="240" w:top="233" w:right="35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 2011, the registrant had 27,712,542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TABLE OF CONTENTS</w:t>
      </w:r>
    </w:p>
    <w:p>
      <w:pPr>
        <w:sectPr>
          <w:pgSz w:w="11900" w:h="16838" w:orient="portrait"/>
          <w:cols w:equalWidth="0" w:num="1">
            <w:col w:w="11300"/>
          </w:cols>
          <w:pgMar w:left="240" w:top="23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85"/>
        </w:trPr>
        <w:tc>
          <w:tcPr>
            <w:tcW w:w="772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I—FINANCIAL INFORMATION</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5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Unaudited Consolidated Balance Sheets as of August 31, 2011 and May 31, 2011</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5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Operations for the three months ended August 31, 2011 and 2010</w:t>
              </w:r>
            </w:hyperlink>
          </w:p>
        </w:tc>
        <w:tc>
          <w:tcPr>
            <w:tcW w:w="20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22"/>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Unaudited Consolidated Statements of Stockholders’ Equity for the three months ended August 31, 2011 and 2010</w:t>
              </w:r>
            </w:hyperlink>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20" w:type="dxa"/>
            <w:vAlign w:val="bottom"/>
            <w:tcBorders>
              <w:top w:val="single" w:sz="8" w:color="0000EE"/>
            </w:tcBorders>
            <w:gridSpan w:val="19"/>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Consolidated Statements of Cash Flows for the three months ended August 31, 2011 and 2010</w:t>
              </w:r>
            </w:hyperlink>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Consolidated Financial Statements</w:t>
              </w:r>
            </w:hyperlink>
          </w:p>
        </w:tc>
        <w:tc>
          <w:tcPr>
            <w:tcW w:w="1900" w:type="dxa"/>
            <w:vAlign w:val="bottom"/>
            <w:tcBorders>
              <w:top w:val="single" w:sz="8" w:color="0000EE"/>
            </w:tcBorders>
            <w:gridSpan w:val="3"/>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126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3.</w:t>
              </w:r>
            </w:hyperlink>
          </w:p>
        </w:tc>
        <w:tc>
          <w:tcPr>
            <w:tcW w:w="1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Borders>
              <w:top w:val="single" w:sz="8" w:color="0000EE"/>
            </w:tcBorders>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4.</w:t>
              </w:r>
            </w:hyperlink>
          </w:p>
        </w:tc>
        <w:tc>
          <w:tcPr>
            <w:tcW w:w="1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4300" w:type="dxa"/>
            <w:vAlign w:val="bottom"/>
            <w:tcBorders>
              <w:top w:val="single" w:sz="8" w:color="0000EE"/>
            </w:tcBorders>
            <w:gridSpan w:val="1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5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2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 II—OTHER INFORMATION</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1.</w:t>
              </w:r>
            </w:hyperlink>
          </w:p>
        </w:tc>
        <w:tc>
          <w:tcPr>
            <w:tcW w:w="1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gridSpan w:val="4"/>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ITEM 1.A.</w:t>
              </w:r>
            </w:hyperlink>
          </w:p>
        </w:tc>
        <w:tc>
          <w:tcPr>
            <w:tcW w:w="5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Unregistered Sales of Equity Securities and Use of Proceeds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5.</w:t>
              </w:r>
            </w:hyperlink>
          </w:p>
        </w:tc>
        <w:tc>
          <w:tcPr>
            <w:tcW w:w="1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Borders>
              <w:top w:val="single" w:sz="8" w:color="0000EE"/>
            </w:tcBorders>
            <w:gridSpan w:val="2"/>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6.</w:t>
              </w:r>
            </w:hyperlink>
          </w:p>
        </w:tc>
        <w:tc>
          <w:tcPr>
            <w:tcW w:w="16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452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gridSpan w:val="4"/>
          </w:tcPr>
          <w:p>
            <w:pPr>
              <w:jc w:val="center"/>
              <w:ind w:right="500"/>
              <w:spacing w:after="0"/>
              <w:rPr>
                <w:sz w:val="20"/>
                <w:szCs w:val="20"/>
                <w:color w:val="auto"/>
              </w:rPr>
            </w:pPr>
            <w:r>
              <w:rPr>
                <w:rFonts w:ascii="Arial" w:cs="Arial" w:eastAsia="Arial" w:hAnsi="Arial"/>
                <w:sz w:val="18"/>
                <w:szCs w:val="18"/>
                <w:color w:val="auto"/>
              </w:rPr>
              <w:t>i</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60" w:type="dxa"/>
            <w:vAlign w:val="bottom"/>
            <w:gridSpan w:val="6"/>
          </w:tcPr>
          <w:p>
            <w:pPr>
              <w:spacing w:after="0"/>
              <w:rPr>
                <w:rFonts w:ascii="Arial" w:cs="Arial" w:eastAsia="Arial" w:hAnsi="Arial"/>
                <w:sz w:val="18"/>
                <w:szCs w:val="18"/>
                <w:color w:val="0000EE"/>
                <w:w w:val="94"/>
              </w:rPr>
            </w:pPr>
            <w:hyperlink w:anchor="page1">
              <w:r>
                <w:rPr>
                  <w:rFonts w:ascii="Arial" w:cs="Arial" w:eastAsia="Arial" w:hAnsi="Arial"/>
                  <w:sz w:val="18"/>
                  <w:szCs w:val="18"/>
                  <w:color w:val="0000EE"/>
                  <w:w w:val="94"/>
                </w:rPr>
                <w:t>Table of Contents</w:t>
              </w:r>
            </w:hyperlink>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80" w:type="dxa"/>
            <w:vAlign w:val="bottom"/>
            <w:gridSpan w:val="5"/>
          </w:tcPr>
          <w:p>
            <w:pPr>
              <w:jc w:val="center"/>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ITEM 1.</w:t>
            </w:r>
          </w:p>
        </w:tc>
        <w:tc>
          <w:tcPr>
            <w:tcW w:w="6360" w:type="dxa"/>
            <w:vAlign w:val="bottom"/>
            <w:gridSpan w:val="13"/>
          </w:tcPr>
          <w:p>
            <w:pPr>
              <w:ind w:left="20"/>
              <w:spacing w:after="0"/>
              <w:rPr>
                <w:sz w:val="20"/>
                <w:szCs w:val="20"/>
                <w:color w:val="auto"/>
              </w:rPr>
            </w:pPr>
            <w:r>
              <w:rPr>
                <w:rFonts w:ascii="Arial" w:cs="Arial" w:eastAsia="Arial" w:hAnsi="Arial"/>
                <w:sz w:val="18"/>
                <w:szCs w:val="18"/>
                <w:b w:val="1"/>
                <w:bCs w:val="1"/>
                <w:color w:val="auto"/>
              </w:rPr>
              <w:t>Financial Statements (unaudited)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2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8"/>
              </w:rPr>
              <w:t>(in thousands, except share data)</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5"/>
          </w:tcPr>
          <w:p>
            <w:pPr>
              <w:ind w:left="120"/>
              <w:spacing w:after="0"/>
              <w:rPr>
                <w:sz w:val="20"/>
                <w:szCs w:val="20"/>
                <w:color w:val="auto"/>
              </w:rPr>
            </w:pPr>
            <w:r>
              <w:rPr>
                <w:rFonts w:ascii="Arial" w:cs="Arial" w:eastAsia="Arial" w:hAnsi="Arial"/>
                <w:sz w:val="14"/>
                <w:szCs w:val="14"/>
                <w:b w:val="1"/>
                <w:bCs w:val="1"/>
                <w:color w:val="auto"/>
              </w:rPr>
              <w:t>August 31, 2011</w:t>
            </w:r>
          </w:p>
        </w:tc>
        <w:tc>
          <w:tcPr>
            <w:tcW w:w="140" w:type="dxa"/>
            <w:vAlign w:val="bottom"/>
          </w:tcPr>
          <w:p>
            <w:pPr>
              <w:spacing w:after="0"/>
              <w:rPr>
                <w:sz w:val="24"/>
                <w:szCs w:val="2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May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6,491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18"/>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8"/>
                <w:szCs w:val="18"/>
                <w:color w:val="auto"/>
              </w:rPr>
              <w:t>72,706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4"/>
              </w:rPr>
              <w:t>Inventories, net</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10,226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6"/>
          </w:tcPr>
          <w:p>
            <w:pPr>
              <w:ind w:left="160"/>
              <w:spacing w:after="0"/>
              <w:rPr>
                <w:sz w:val="20"/>
                <w:szCs w:val="20"/>
                <w:color w:val="auto"/>
              </w:rPr>
            </w:pPr>
            <w:r>
              <w:rPr>
                <w:rFonts w:ascii="Arial" w:cs="Arial" w:eastAsia="Arial" w:hAnsi="Arial"/>
                <w:sz w:val="18"/>
                <w:szCs w:val="18"/>
                <w:color w:val="auto"/>
                <w:w w:val="92"/>
              </w:rPr>
              <w:t>Deferred income taxes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gridSpan w:val="6"/>
          </w:tcPr>
          <w:p>
            <w:pPr>
              <w:ind w:left="340"/>
              <w:spacing w:after="0"/>
              <w:rPr>
                <w:sz w:val="20"/>
                <w:szCs w:val="20"/>
                <w:color w:val="auto"/>
              </w:rPr>
            </w:pPr>
            <w:r>
              <w:rPr>
                <w:rFonts w:ascii="Arial" w:cs="Arial" w:eastAsia="Arial" w:hAnsi="Arial"/>
                <w:sz w:val="18"/>
                <w:szCs w:val="18"/>
                <w:color w:val="auto"/>
                <w:w w:val="94"/>
              </w:rPr>
              <w:t>Total current assets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97,530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106,779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6"/>
          </w:tcPr>
          <w:p>
            <w:pPr>
              <w:spacing w:after="0"/>
              <w:rPr>
                <w:sz w:val="20"/>
                <w:szCs w:val="20"/>
                <w:color w:val="auto"/>
              </w:rPr>
            </w:pPr>
            <w:r>
              <w:rPr>
                <w:rFonts w:ascii="Arial" w:cs="Arial" w:eastAsia="Arial" w:hAnsi="Arial"/>
                <w:sz w:val="18"/>
                <w:szCs w:val="18"/>
                <w:color w:val="auto"/>
              </w:rPr>
              <w:t>Intangible assets, net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8"/>
                <w:szCs w:val="18"/>
                <w:color w:val="auto"/>
              </w:rPr>
              <w:t>28,163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68,970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CCEEFF"/>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248,517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LIABILITIES, PREFERRED STOCK AND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w w:val="94"/>
              </w:rPr>
              <w:t>Current Liabilities</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6,551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18"/>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8"/>
                <w:szCs w:val="18"/>
                <w:color w:val="auto"/>
              </w:rPr>
              <w:t>6,526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18"/>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8"/>
                <w:szCs w:val="18"/>
                <w:color w:val="auto"/>
              </w:rPr>
              <w:t>29,020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Income taxes payable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18"/>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50,042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9,495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-4923790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-4923790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11,047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3,719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Preferred stock, 10,000,000 shares authorized</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$0.01 par value, 200,000,000 shares authorized, 27,712,038 and 27,667,122 shares</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issued and outstanding as of August 31, 2011 and May 31, 2011, respectively</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181,521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(10,789)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171,294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preferred stock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248,517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three months ended August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7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78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82,902</w:t>
            </w:r>
          </w:p>
        </w:tc>
        <w:tc>
          <w:tcPr>
            <w:tcW w:w="1200" w:type="dxa"/>
            <w:vAlign w:val="bottom"/>
            <w:gridSpan w:val="2"/>
          </w:tcPr>
          <w:p>
            <w:pPr>
              <w:jc w:val="right"/>
              <w:ind w:right="90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61,252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17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68,410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1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56,887</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41,391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3,323</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17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64,027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47,632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19,381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15,479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1,479</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Legal reserve</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7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17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2,116</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17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loss attributable to noncontrolling interests, net of taxes</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Earnings per common share (see Note 4):</w:t>
            </w:r>
          </w:p>
        </w:tc>
        <w:tc>
          <w:tcPr>
            <w:tcW w:w="1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8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780" w:type="dxa"/>
            <w:vAlign w:val="bottom"/>
            <w:gridSpan w:val="2"/>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1200" w:type="dxa"/>
            <w:vAlign w:val="bottom"/>
            <w:gridSpan w:val="2"/>
            <w:shd w:val="clear" w:color="auto" w:fill="CCEEFF"/>
          </w:tcPr>
          <w:p>
            <w:pPr>
              <w:jc w:val="right"/>
              <w:ind w:right="90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780" w:type="dxa"/>
            <w:vAlign w:val="bottom"/>
            <w:gridSpan w:val="2"/>
          </w:tcPr>
          <w:p>
            <w:pPr>
              <w:jc w:val="right"/>
              <w:ind w:right="84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200" w:type="dxa"/>
            <w:vAlign w:val="bottom"/>
            <w:gridSpan w:val="2"/>
          </w:tcPr>
          <w:p>
            <w:pPr>
              <w:jc w:val="right"/>
              <w:ind w:right="90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Basic</w:t>
            </w: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27,677</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26,664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28,225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26,778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Mistras Group,</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earnings</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other</w:t>
            </w: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Inc.</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gridSpan w:val="4"/>
            <w:vMerge w:val="continue"/>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paid-in</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11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deficit)</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8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August 31,</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2010:</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Balance at May 31, 2010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26,664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162,054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(30,448)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(1,587)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130,286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130,554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1,592</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1,592</w:t>
            </w:r>
          </w:p>
        </w:tc>
        <w:tc>
          <w:tcPr>
            <w:tcW w:w="3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 net</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tax:</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ind w:left="160"/>
              <w:spacing w:after="0" w:line="201" w:lineRule="exact"/>
              <w:rPr>
                <w:sz w:val="20"/>
                <w:szCs w:val="20"/>
                <w:color w:val="auto"/>
              </w:rPr>
            </w:pPr>
            <w:r>
              <w:rPr>
                <w:rFonts w:ascii="Arial" w:cs="Arial" w:eastAsia="Arial" w:hAnsi="Arial"/>
                <w:sz w:val="18"/>
                <w:szCs w:val="18"/>
                <w:color w:val="auto"/>
              </w:rPr>
              <w:t>Foreign currency translation</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340"/>
              <w:spacing w:after="0"/>
              <w:rPr>
                <w:sz w:val="20"/>
                <w:szCs w:val="20"/>
                <w:color w:val="auto"/>
              </w:rPr>
            </w:pPr>
            <w:r>
              <w:rPr>
                <w:rFonts w:ascii="Arial" w:cs="Arial" w:eastAsia="Arial" w:hAnsi="Arial"/>
                <w:sz w:val="18"/>
                <w:szCs w:val="18"/>
                <w:color w:val="auto"/>
              </w:rPr>
              <w:t>adjustment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Stock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Noncontrolling interest in</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subsidiary</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at August 31, 2010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26,664</w:t>
            </w:r>
          </w:p>
        </w:tc>
        <w:tc>
          <w:tcPr>
            <w:tcW w:w="2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162,783</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132,397</w:t>
            </w:r>
          </w:p>
        </w:tc>
        <w:tc>
          <w:tcPr>
            <w:tcW w:w="2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20" w:type="dxa"/>
            <w:vAlign w:val="bottom"/>
          </w:tcPr>
          <w:p>
            <w:pPr>
              <w:spacing w:after="0" w:line="198" w:lineRule="exact"/>
              <w:rPr>
                <w:sz w:val="20"/>
                <w:szCs w:val="20"/>
                <w:color w:val="auto"/>
              </w:rPr>
            </w:pPr>
            <w:r>
              <w:rPr>
                <w:rFonts w:ascii="Arial" w:cs="Arial" w:eastAsia="Arial" w:hAnsi="Arial"/>
                <w:sz w:val="18"/>
                <w:szCs w:val="18"/>
                <w:b w:val="1"/>
                <w:bCs w:val="1"/>
                <w:color w:val="auto"/>
              </w:rPr>
              <w:t>Three months ended August 31,</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2011:</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May 31, 2011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180,594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(14,017)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167,157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Other comprehensive income, net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of tax:</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Foreign currency translation</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3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Net settlement on vesting of</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3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 from stock</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3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August 31, 2011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181,521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For the three months ended August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8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3,228</w:t>
            </w:r>
          </w:p>
        </w:tc>
        <w:tc>
          <w:tcPr>
            <w:tcW w:w="11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of assets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Interest rate swap</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Foreign currency loss (gain)</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businesses, net of cash acquired</w:t>
            </w:r>
          </w:p>
        </w:tc>
        <w:tc>
          <w:tcPr>
            <w:tcW w:w="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Proceeds from sale of equipment</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6"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capital lease obligations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against revolver</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Repayments of other short-term borrowings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(960)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Excess tax benefit from stock compensation</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stock options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r>
      <w:tr>
        <w:trPr>
          <w:trHeight w:val="210"/>
        </w:trPr>
        <w:tc>
          <w:tcPr>
            <w:tcW w:w="6980" w:type="dxa"/>
            <w:vAlign w:val="bottom"/>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Beginning of period</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10,879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16,037</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9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4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621</w:t>
            </w:r>
          </w:p>
        </w:tc>
        <w:tc>
          <w:tcPr>
            <w:tcW w:w="7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Income taxes</w:t>
            </w:r>
          </w:p>
        </w:tc>
        <w:tc>
          <w:tcPr>
            <w:tcW w:w="14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2,294</w:t>
            </w: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3,530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14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3,598</w:t>
            </w: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14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Given the role our services play in ensuring the safe and efficient operation of infrastructure, the Company has historically provided a majority of its services to its customers on a regular, recurring basis.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(GAAP) for interim financial information. Accordingly, they do not include all of the information and footnotes required by GAAP for complete financial statements. In the opinion of management, all adjustments (consisting of normal recurring accruals) considered necessary for a fair statement have been included. Operating results for the three months ended August 31, 2011 are not necessarily indicative of the results that may be expected for the year ending May 31, 2012. The balance sheet at May 31, 2011 has been derived from the audited financial statements at that date but does not include all of the information and footnotes required by GAAP for complete financial statements. You should read these unaudited consolidated financial statements together with the historical consolidated financial statements of the Company as filed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or majority-owned subsidiaries. Where the Company’s ownership interest is less than 100%, the noncontrolling interests are reported in stockholders’ equity in the accompanying consolidated balance sheets. The noncontrolling interest in net income, net of tax, is classified separately in the accompanying consolidated statements of operations.</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All significant intercompany accounts and transactions have been eliminated in consolidation. All foreign subsidiaries’ fiscal years end on April 30, while Mistras Group, Inc. and the domestic subsidiaries’ fiscal years end on May 31. The effect of this difference in timing of reporting foreign operations on the consolidated results of operations and consolidated financial position is not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Certain amounts previously reported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of Prior Period Financial Statements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have revised our consolidated statement of cash flows for the quarter ended August 31, 2010 to reflect the cash flows associated with the financing of an insurance premium as cash flows from financing activities. Such cash flows were previously reported in operating activities. A summary of the revisions to the consolidated statements of cash flows for the three months ended August 31, 2010 is as follows:</w:t>
      </w:r>
    </w:p>
    <w:p>
      <w:pPr>
        <w:sectPr>
          <w:pgSz w:w="11900" w:h="16838" w:orient="portrait"/>
          <w:cols w:equalWidth="0" w:num="1">
            <w:col w:w="11420"/>
          </w:cols>
          <w:pgMar w:left="240" w:top="121" w:right="239" w:bottom="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As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previously</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Revision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reported</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2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(7,240)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2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during the period</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similar revision has been made to the six and nine-month periods ended November 30, 2010 and February 28, 2011, which will be reflected in our second and third quarterly filings of fiscal 2012. The impact of these revisions in the six and nine-month periods ending November 30, 2010 and February 28, 2011 was a decrease of approximately $2.1 million and $2.7 million, respectively, to net cash flows provided by operating activities with a corresponding increase to net cash flows provided by (used in) financing activities. These revisions had no impact on our annual statement of cash flows as presented in our 2011 Form 10-K.</w:t>
      </w:r>
    </w:p>
    <w:p>
      <w:pPr>
        <w:spacing w:after="0" w:line="18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rules as noted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Revenues from product sales are recognized when risk of loss and title passes to the customer.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ectPr>
          <w:pgSz w:w="11900" w:h="16838" w:orient="portrait"/>
          <w:cols w:equalWidth="0" w:num="1">
            <w:col w:w="11400"/>
          </w:cols>
          <w:pgMar w:left="240" w:top="125" w:right="259" w:bottom="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occasionally enters into transactions that represent multiple-element arrangements, which may include any combination of services, software, and hardware. When a sales arrangement contains multiple elements, such as hardware and services and/or software products, the Company allocates revenue to each element based on a selling price hierarchy. The selling price for a deliverable is based on its vendor specific objective evidence (VSOE) if available, third party evidence (TPE) if VSOE is not available, or estimated selling price (ESP) if neither VSOE nor TPE is available. The Company has historically utilized the VSOE due to the nature of its products. In multiple element arrangements where more-than-incidental software deliverables are included, revenue is allocated to each separate unit of accounting for each of the non-software deliverables and to the software deliverables as a group using the relative selling prices of each of the deliverables in the arrangement based on the aforementioned selling price hierarchy. If the arrangement contains more than one software deliverable, the arrangement consideration allocated to the software deliverables as a group is then allocated to each software deliverable using the guidance for recognizing software revenue,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These unaudited consolidated financial statements have been prepared in conformity with GAAP, which requires management to make estimates and assumptions about future events that affect the reported amounts of assets and liabilities, disclosure of contingent assets and liabilities at the date of the financial statements, and the reported amounts of revenues and expenses during the reporting period. Actual results could differ from these estimates. The more significant estimates include valuation of goodwill and intangible assets, useful lives of long-lived assets, allowance for doubtful accounts, inventory valuation, reserves for self-insured workers compensation and health benefits and provision for income taxes.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represents the excess of the purchase price over the fair market value of net assets of the acquired business at the date of acquisition. The Company tests for impairment annually, in its fiscal fourth quarter, using a two-step process. The first step identifies potential impairment by comparing the fair value of the Company’s reporting units to its carrying value. If the fair value is less than the carrying value, the second step measures the amount of impairment, if any. The impairment loss is the amount by which the carrying amount of goodwill exceeds the implied fair value of that goodwill. The most recent annual test for impairment performed for fiscal 2011 did not identify any instances of impairment and there were no events through August 31, 2011 that warranted a reconsideration of our impairment test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sells primarily to large companies, extends reasonably short collection terms, performs credit evaluations and does not require collateral. The Company maintains reserves for potential credit losses.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one customer, BP plc. (BP), which accounted for 16% and 18% of revenues for the three months ended August 31, 2011 and 2010, respectively. Accounts receivable from this customer were approximately 11% and 15% of total accounts receivable, net as of August 31, 2011 and 2010, respectively. Our relationship with BP is comprised of separate contracts for non-destructive testing and inspection services with multiple affiliated entities within the broad BP organization. We conduct business with various divisions or affiliates of the BP organization through numerous contracts covering many segments of BP’s business including downstream (refinery), midstream (pipelines) and upstream (exploration). These contracts are typically negotiated locally with the specific location, are of varying lengths, have different start and end dates and differ in terms of the scope of work and nature of services provided. Most contracts are based on time and materials.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equity award on a straight-line basis over the vesting period of the related awards.</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 option awards and the estimated volatility of the Company’s common stock price. The Black-Scholes model is sensitive to changes in these two variables. Since the Company’s initial public offering (IPO), the expected term of the Company’s stock options is generally determined using the mid-point between the vesting period and the end of the contractual term. Expected stock price volatility is typically based on the daily historical trading data for a period equal to the expected term. Because the Company’s historical trading data only dates back to October 8, 2009, the first trading date after its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ectPr>
          <w:pgSz w:w="11900" w:h="16838" w:orient="portrait"/>
          <w:cols w:equalWidth="0" w:num="1">
            <w:col w:w="11420"/>
          </w:cols>
          <w:pgMar w:left="240" w:top="341" w:right="239" w:bottom="0" w:gutter="0" w:footer="0" w:header="0"/>
        </w:sectPr>
      </w:pPr>
    </w:p>
    <w:bookmarkStart w:id="7" w:name="page8"/>
    <w:bookmarkEnd w:id="7"/>
    <w:p>
      <w:pPr>
        <w:spacing w:after="0" w:line="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October 2009, the FASB issued ASU 2009-13, Revenue Recognition (Topic 605): Multiple-Deliverable Revenue Arrangements (a consensus of the FASB Emerging Issues Task Force), which requires companies to allocate the overall consideration in multiple-element arrangements to each deliverable by using a best estimate of the selling price of individual deliverables in the arrangement in the absence of vendor-specific objective evidence or other third-party evidence of the selling price. Effective June 1, 2011, the Company adopted, on a prospective basis, the provisions of these updated accounting standards related to revenue recognition associated with contractual arrangements involving multiple elements. The adoption of this pronouncement did not have a material impact on the Company’s consolidated financial statements.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2010, the FASB issued ASU 2010-17, Revenue Recognition—Milestone Method (Topic 605): Milestone Method of Revenue Recognition (a consensus of the FASB Emerging Issues Task Force). ASU 2010-17 provides guidance on applying the milestone method to milestone payments for achieving specified performance measure when those payments are related to uncertain future events limited to transactions involving research and development. Entities can make an accounting policy election to recognize arrangement consideration received for achieving specified performance measures during the period in which the milestones are achieved, provided certain criteria are met. Effective June 1, 2011, the Company adopted, on a prospective basis, the provisions of these updated accounting standards related to milestones. The adoption of this pronouncement did not have a material impact on the Company’s consolidated financial statements.</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the total of comprehensive income, the components of net income, and the components of other comprehensive income either in a single continuous statement of comprehensive income or in two separate but consecutive statements. This authoritative guidance eliminates the option to present the components of other comprehensive income as part of the statement of equity. In addition, items that are reclassified from other comprehensive income to net income must be presented on the face of the financial statements. ASU 2011-05 does not change the items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that must be reported in other comprehensive income, when an item of other comprehensive income must be reclassified to net income, the Company’s option to present components of other comprehensive income either net of related tax effects or before related tax effects, nor does it affect how earnings per share is calculated or presented. ASU 2011-05 requires retrospective application, and it is effective for fiscal years and interim periods within those years, beginning after December 15, 2011. Early adoption is permitted. The Company does not expect that the adoption of this pronouncement will have a material impact on the Company’s consolidated financial statements.</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September 2011, the FASB issued Accounting Standards Update (ASU) 2011-08, Intangibles-Goodwill and Other (Topic 350): Testing Goodwill for Impairment, to allow entities to use a qualitative approach to test goodwill for impairment. ASU 2011-08 permits an entity to first perform a qualitative assessment to determine whether it is more likely than not that the fair value of a reporting unit is less than its carrying value. If it is concluded that this is the case, it is necessary to perform the currently prescribed two-step goodwill impairment test. Otherwise, the two-step goodwill impairment test is not required. ASU 2011-08 is effective for the Company in fiscal 2013 and earlier adoption is permitted. The Company does not expect that the adoption of this pronouncement will have a material impact on the Company’s consolidated financial statements.</w:t>
      </w:r>
    </w:p>
    <w:p>
      <w:pPr>
        <w:spacing w:after="0" w:line="17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October 2009, the Company completed its initial public offering of 10,000,000 shares of common stock at a price of $12.50 per share. The Company sold 6,700,000 shares and received net proceeds of approximately $74.0 million from the offering. The Company used approximately $68.0 million of the net proceeds to repay the outstanding principal balance of the term loan ($25.0 million), outstanding balance of the revolver ($41.4 million) and accrued interest thereon ($0.1 million), as well as approximately $1.5 million to pay costs and expenses related to the offering. The remaining proceeds of approximately $6.0 million were used in connection with acquisitions the Company has made and for working capital purposes.</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May 2011, the Company completed a secondary offering of 3,754,061 shares of common stock at a price of $16.00 per share. The Company sold 989,660 shares and 2,764,401 shares were sold by a selling stockholder. The Company received net proceeds of approximately $14.7 million from the offering. The Company used the net proceeds for general corporate purposes including the reduction of outstanding indebtedness, acquisitions, capital expenditures and working capital.</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September 2009, the Company’s board of directors and shareholders adopted and approved the 2009 Long-Term Incentive Plan (the 2009 Plan), which became effective upon the closing of the IPO. Awards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of common stock, of which 1,707,000 shares were available for future grants as of August 31, 2011. Prior to the Company’s IPO in October 2009, the Company had two stock option plans: (i) the 1995 Incentive Stock Option and Restricted Stock Purchase Plan (the 1995 Plan), and (ii) the 2007 Stock Option Plan (the 2007 Plan). No additional awards may be granted from these two plans. As of August 31, 2011, there were approximately 2,859,000 stock options outstanding and approximately 451,000 unvested restricted stock units outstanding under the 2009 Plan, the 2007 Plan, and the 1995 Plan.</w:t>
      </w:r>
    </w:p>
    <w:p>
      <w:pPr>
        <w:spacing w:after="0" w:line="18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fair value of the Company’s stock option awards for the three months ended August 31, 2010 was estimated at the date of grant using the Black-Scholes option-pricing model with the range of assumptions below. No stock options were granted during the three months ended August 31, 2011.</w:t>
      </w:r>
    </w:p>
    <w:p>
      <w:pPr>
        <w:sectPr>
          <w:pgSz w:w="11900" w:h="16885" w:orient="portrait"/>
          <w:cols w:equalWidth="0" w:num="1">
            <w:col w:w="11420"/>
          </w:cols>
          <w:pgMar w:left="240" w:top="34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60" w:type="dxa"/>
            <w:vAlign w:val="bottom"/>
          </w:tcPr>
          <w:p>
            <w:pPr>
              <w:jc w:val="center"/>
              <w:ind w:left="1110"/>
              <w:spacing w:after="0"/>
              <w:rPr>
                <w:sz w:val="20"/>
                <w:szCs w:val="20"/>
                <w:color w:val="auto"/>
              </w:rPr>
            </w:pPr>
            <w:r>
              <w:rPr>
                <w:rFonts w:ascii="Arial" w:cs="Arial" w:eastAsia="Arial" w:hAnsi="Arial"/>
                <w:sz w:val="18"/>
                <w:szCs w:val="18"/>
                <w:color w:val="auto"/>
                <w:w w:val="89"/>
              </w:rPr>
              <w:t>10</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0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9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8380" w:type="dxa"/>
            <w:vAlign w:val="bottom"/>
            <w:gridSpan w:val="4"/>
          </w:tcPr>
          <w:p>
            <w:pPr>
              <w:jc w:val="center"/>
              <w:ind w:right="3100"/>
              <w:spacing w:after="0"/>
              <w:rPr>
                <w:sz w:val="20"/>
                <w:szCs w:val="20"/>
                <w:color w:val="auto"/>
              </w:rPr>
            </w:pPr>
            <w:r>
              <w:rPr>
                <w:rFonts w:ascii="Arial" w:cs="Arial" w:eastAsia="Arial" w:hAnsi="Arial"/>
                <w:sz w:val="18"/>
                <w:szCs w:val="18"/>
                <w:b w:val="1"/>
                <w:bCs w:val="1"/>
                <w:color w:val="auto"/>
                <w:w w:val="90"/>
              </w:rPr>
              <w:t>Mistras Group, Inc. and Subsidiaries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380" w:type="dxa"/>
            <w:vAlign w:val="bottom"/>
            <w:gridSpan w:val="4"/>
          </w:tcPr>
          <w:p>
            <w:pPr>
              <w:jc w:val="center"/>
              <w:ind w:right="3160"/>
              <w:spacing w:after="0"/>
              <w:rPr>
                <w:sz w:val="20"/>
                <w:szCs w:val="20"/>
                <w:color w:val="auto"/>
              </w:rPr>
            </w:pPr>
            <w:r>
              <w:rPr>
                <w:rFonts w:ascii="Arial" w:cs="Arial" w:eastAsia="Arial" w:hAnsi="Arial"/>
                <w:sz w:val="18"/>
                <w:szCs w:val="18"/>
                <w:b w:val="1"/>
                <w:bCs w:val="1"/>
                <w:color w:val="auto"/>
                <w:w w:val="89"/>
              </w:rPr>
              <w:t>Notes to Unaudited Consolidated Financial Statements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380" w:type="dxa"/>
            <w:vAlign w:val="bottom"/>
            <w:gridSpan w:val="4"/>
          </w:tcPr>
          <w:p>
            <w:pPr>
              <w:jc w:val="center"/>
              <w:ind w:right="3120"/>
              <w:spacing w:after="0"/>
              <w:rPr>
                <w:sz w:val="20"/>
                <w:szCs w:val="20"/>
                <w:color w:val="auto"/>
              </w:rPr>
            </w:pPr>
            <w:r>
              <w:rPr>
                <w:rFonts w:ascii="Arial" w:cs="Arial" w:eastAsia="Arial" w:hAnsi="Arial"/>
                <w:sz w:val="18"/>
                <w:szCs w:val="18"/>
                <w:b w:val="1"/>
                <w:bCs w:val="1"/>
                <w:color w:val="auto"/>
                <w:w w:val="89"/>
              </w:rPr>
              <w:t>(tabular dollars in thousands, except per share data)</w:t>
            </w:r>
          </w:p>
        </w:tc>
        <w:tc>
          <w:tcPr>
            <w:tcW w:w="0" w:type="dxa"/>
            <w:vAlign w:val="bottom"/>
          </w:tcPr>
          <w:p>
            <w:pPr>
              <w:spacing w:after="0"/>
              <w:rPr>
                <w:sz w:val="1"/>
                <w:szCs w:val="1"/>
                <w:color w:val="auto"/>
              </w:rPr>
            </w:pPr>
          </w:p>
        </w:tc>
      </w:tr>
      <w:tr>
        <w:trPr>
          <w:trHeight w:val="342"/>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32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1"/>
              </w:rPr>
              <w:t>August 31, 2010</w:t>
            </w: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26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6260" w:type="dxa"/>
            <w:vAlign w:val="bottom"/>
            <w:gridSpan w:val="3"/>
          </w:tcPr>
          <w:p>
            <w:pPr>
              <w:jc w:val="right"/>
              <w:ind w:right="160"/>
              <w:spacing w:after="0"/>
              <w:rPr>
                <w:sz w:val="20"/>
                <w:szCs w:val="20"/>
                <w:color w:val="auto"/>
              </w:rPr>
            </w:pPr>
            <w:r>
              <w:rPr>
                <w:rFonts w:ascii="Arial" w:cs="Arial" w:eastAsia="Arial" w:hAnsi="Arial"/>
                <w:sz w:val="18"/>
                <w:szCs w:val="18"/>
                <w:color w:val="auto"/>
              </w:rPr>
              <w:t>6.3</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-1965960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-1965960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recognized stock-based compensation expense related to stock option awards of approximately $0.8 million and $0.7 million for the three months ended August 31, 2011 and 2010, respectively. As of August 31, 2011, there was approximately $6.2 million of unrecognized compensation costs, net of estimated forfeitures, related to stock option awards, which are expected to be recognized over a remaining weighted average period of 2.0 years. Cash proceeds from and the aggregate intrinsic value of stock options exercised during the three months ended August 31, 2011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13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August 31, 2011</w:t>
            </w:r>
          </w:p>
        </w:tc>
      </w:tr>
      <w:tr>
        <w:trPr>
          <w:trHeight w:val="210"/>
        </w:trPr>
        <w:tc>
          <w:tcPr>
            <w:tcW w:w="1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r>
      <w:tr>
        <w:trPr>
          <w:trHeight w:val="418"/>
        </w:trPr>
        <w:tc>
          <w:tcPr>
            <w:tcW w:w="7520" w:type="dxa"/>
            <w:vAlign w:val="bottom"/>
            <w:gridSpan w:val="2"/>
          </w:tcPr>
          <w:p>
            <w:pPr>
              <w:spacing w:after="0"/>
              <w:rPr>
                <w:sz w:val="20"/>
                <w:szCs w:val="20"/>
                <w:color w:val="auto"/>
              </w:rPr>
            </w:pPr>
            <w:r>
              <w:rPr>
                <w:rFonts w:ascii="Arial" w:cs="Arial" w:eastAsia="Arial" w:hAnsi="Arial"/>
                <w:sz w:val="18"/>
                <w:szCs w:val="18"/>
                <w:color w:val="auto"/>
              </w:rPr>
              <w:t>There were no stock option exercises during the three months ended August 31, 2010.</w:t>
            </w: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Company also recognized approximately $0.2 million in stock-based compensation expense related to restricted stock unit awards during the three months ended August 31, 2011. Stock-based compensation expense related to restricted stock unit awards during the three months ended August 31, 2010 was de minimus. As of August 31, 2011, there was approximately $7.1 million of unrecognized compensation costs, net of estimated forfeitures, related to restricted stock unit awards, which are expected to be recognized over a remaining weighted average period of 3.8 years.</w:t>
      </w:r>
    </w:p>
    <w:p>
      <w:pPr>
        <w:spacing w:after="0" w:line="15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the first quarter of fiscal 2012, approximately 52,000 restricted stock units vested, the fair value of which was $0.5 million. Upon vesting, restricted stock units are generally net share-settled to cover the required withholding tax and the remaining amount is converted into an equivalent number of shares of common stock. The restricted stock units that vested in the first quarter of fiscal 2012 were net-share settled such that the Company withheld shares with value equivalent to the employees’ minimum statutory obligation for the applicable income and other employment taxes, and remitted the cash to the appropriate taxing authorities. The Company withheld approximately 16,000 shares based on the value of the restricted stock units on their vesting date as determined by the Company’s closing stock price. Total payments for the employees’ tax obligations to the taxing authorities were $0.3 million and are reflected as a financing activity within the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9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77"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rPr>
              <w:t>Three months ended August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Numerator:</w:t>
            </w:r>
          </w:p>
        </w:tc>
        <w:tc>
          <w:tcPr>
            <w:tcW w:w="1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3120" w:type="dxa"/>
            <w:vAlign w:val="bottom"/>
            <w:gridSpan w:val="2"/>
            <w:shd w:val="clear" w:color="auto" w:fill="CCEEFF"/>
          </w:tcPr>
          <w:p>
            <w:pPr>
              <w:jc w:val="right"/>
              <w:ind w:right="102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Denominator:</w:t>
            </w:r>
          </w:p>
        </w:tc>
        <w:tc>
          <w:tcPr>
            <w:tcW w:w="1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27,677</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26,664</w:t>
            </w:r>
          </w:p>
        </w:tc>
        <w:tc>
          <w:tcPr>
            <w:tcW w:w="0" w:type="dxa"/>
            <w:vAlign w:val="bottom"/>
          </w:tcPr>
          <w:p>
            <w:pPr>
              <w:spacing w:after="0"/>
              <w:rPr>
                <w:sz w:val="1"/>
                <w:szCs w:val="1"/>
                <w:color w:val="auto"/>
              </w:rPr>
            </w:pPr>
          </w:p>
        </w:tc>
      </w:tr>
      <w:tr>
        <w:trPr>
          <w:trHeight w:val="250"/>
        </w:trPr>
        <w:tc>
          <w:tcPr>
            <w:tcW w:w="54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92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ind w:right="102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Diluted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9" w:name="page10"/>
    <w:bookmarkEnd w:id="9"/>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Net income attributable to common shareholders</w:t>
            </w:r>
          </w:p>
        </w:tc>
        <w:tc>
          <w:tcPr>
            <w:tcW w:w="24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3,228</w:t>
            </w:r>
          </w:p>
        </w:tc>
        <w:tc>
          <w:tcPr>
            <w:tcW w:w="280" w:type="dxa"/>
            <w:vAlign w:val="bottom"/>
          </w:tcPr>
          <w:p>
            <w:pPr>
              <w:spacing w:after="0"/>
              <w:rPr>
                <w:sz w:val="20"/>
                <w:szCs w:val="20"/>
                <w:color w:val="auto"/>
              </w:rPr>
            </w:pPr>
          </w:p>
        </w:tc>
        <w:tc>
          <w:tcPr>
            <w:tcW w:w="700" w:type="dxa"/>
            <w:vAlign w:val="bottom"/>
            <w:gridSpan w:val="2"/>
          </w:tcPr>
          <w:p>
            <w:pPr>
              <w:jc w:val="right"/>
              <w:ind w:right="525"/>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20"/>
                <w:szCs w:val="20"/>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27,677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26,664</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1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760" w:type="dxa"/>
            <w:vAlign w:val="bottom"/>
          </w:tcPr>
          <w:p>
            <w:pPr>
              <w:spacing w:after="0"/>
              <w:rPr>
                <w:sz w:val="18"/>
                <w:szCs w:val="18"/>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made three acquisitions during the three months ended August 31, 2011. These acquisitions were asset protection companies specializing in advanced ultrasonic inspection, NDT services and inspection, and ultrasonic testing (UT) products and systems. These companies were acquired to complement our service and product offerings within our Services, Products and Systems, and International segments. One acquisition was an asset purchase that met the definition of “acquisitions of businesses” under the provision FASB Accounting Standards Codification (ASC) 805-10-20 and has been integrated into our Services segment. In the remaining acquisitions, we acquired 100% of the common stock of the acquirees, which have been integrated into our International segment. In addition to the cash and debt consideration, the Company also accrued a liability of approximately $1.1 million as of August 31, 2011, which represents the estimated fair value of contingent consideration expected to be payable in the event that certain of the acquired companies achieve specific performance metrics over the next four years of operations. The total potential contingent consideration ranges from zero to $1.6 million for these acquisitions.</w:t>
      </w:r>
    </w:p>
    <w:p>
      <w:pPr>
        <w:spacing w:after="0" w:line="18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Assets and liabilities of the acquired businesses were included in the consolidated balance sheets as of August 31, 2011 based on their estimated fair value on the date of acquisition as determined in a purchase price allocation, using available information and making assumptions management believes are reasonable. The Company is still in the process of completing its valuations of the intangible assets of the acquisitions in our International segment. We believe we will have finalized these valuations and purchase price allocations prior to the end of our second fiscal quarter ending November 30, 2011. The Company’s preliminary allocation of purchase price for these acquisitions is included in the table below. Results of operations for the period from acquisition date are reported in each respective operating segment’s statement of operations. The following table summarizes the estimated fair value of the assets acquired and liabilities assumed at the date of acquisition: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340" w:type="dxa"/>
            <w:vAlign w:val="bottom"/>
            <w:tcBorders>
              <w:bottom w:val="single" w:sz="8" w:color="auto"/>
            </w:tcBorders>
            <w:gridSpan w:val="4"/>
          </w:tcPr>
          <w:p>
            <w:pPr>
              <w:jc w:val="right"/>
              <w:ind w:right="326"/>
              <w:spacing w:after="0"/>
              <w:rPr>
                <w:sz w:val="20"/>
                <w:szCs w:val="20"/>
                <w:color w:val="auto"/>
              </w:rPr>
            </w:pPr>
            <w:r>
              <w:rPr>
                <w:rFonts w:ascii="Arial" w:cs="Arial" w:eastAsia="Arial" w:hAnsi="Arial"/>
                <w:sz w:val="14"/>
                <w:szCs w:val="14"/>
                <w:b w:val="1"/>
                <w:bCs w:val="1"/>
                <w:color w:val="auto"/>
              </w:rPr>
              <w:t>Three months ended August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w:t>
            </w:r>
          </w:p>
        </w:tc>
        <w:tc>
          <w:tcPr>
            <w:tcW w:w="1240" w:type="dxa"/>
            <w:vAlign w:val="bottom"/>
            <w:shd w:val="clear" w:color="auto" w:fill="CCEEFF"/>
          </w:tcPr>
          <w:p>
            <w:pPr>
              <w:jc w:val="right"/>
              <w:ind w:right="1057"/>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5,628</w:t>
            </w:r>
          </w:p>
        </w:tc>
        <w:tc>
          <w:tcPr>
            <w:tcW w:w="1240" w:type="dxa"/>
            <w:vAlign w:val="bottom"/>
            <w:shd w:val="clear" w:color="auto" w:fill="CCEEFF"/>
          </w:tcPr>
          <w:p>
            <w:pPr>
              <w:jc w:val="right"/>
              <w:ind w:right="108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Subordinated notes issued</w:t>
            </w:r>
          </w:p>
        </w:tc>
        <w:tc>
          <w:tcPr>
            <w:tcW w:w="12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and other liabilities assumed</w:t>
            </w:r>
          </w:p>
        </w:tc>
        <w:tc>
          <w:tcPr>
            <w:tcW w:w="1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1,386</w:t>
            </w:r>
          </w:p>
        </w:tc>
        <w:tc>
          <w:tcPr>
            <w:tcW w:w="1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2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1,115</w:t>
            </w:r>
          </w:p>
        </w:tc>
        <w:tc>
          <w:tcPr>
            <w:tcW w:w="124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Purchase price</w:t>
            </w:r>
          </w:p>
        </w:tc>
        <w:tc>
          <w:tcPr>
            <w:tcW w:w="1240" w:type="dxa"/>
            <w:vAlign w:val="bottom"/>
          </w:tcPr>
          <w:p>
            <w:pPr>
              <w:jc w:val="right"/>
              <w:ind w:right="1057"/>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8,129</w:t>
            </w:r>
          </w:p>
        </w:tc>
        <w:tc>
          <w:tcPr>
            <w:tcW w:w="1240" w:type="dxa"/>
            <w:vAlign w:val="bottom"/>
          </w:tcPr>
          <w:p>
            <w:pPr>
              <w:jc w:val="right"/>
              <w:ind w:right="108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Current net assets acquired</w:t>
            </w:r>
          </w:p>
        </w:tc>
        <w:tc>
          <w:tcPr>
            <w:tcW w:w="12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1,022</w:t>
            </w:r>
          </w:p>
        </w:tc>
        <w:tc>
          <w:tcPr>
            <w:tcW w:w="1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12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1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2,110</w:t>
            </w:r>
          </w:p>
        </w:tc>
        <w:tc>
          <w:tcPr>
            <w:tcW w:w="1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2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4,902</w:t>
            </w:r>
          </w:p>
        </w:tc>
        <w:tc>
          <w:tcPr>
            <w:tcW w:w="12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noncontrolling interest</w:t>
            </w:r>
          </w:p>
        </w:tc>
        <w:tc>
          <w:tcPr>
            <w:tcW w:w="1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1240" w:type="dxa"/>
            <w:vAlign w:val="bottom"/>
            <w:tcBorders>
              <w:top w:val="single" w:sz="8" w:color="auto"/>
              <w:bottom w:val="single" w:sz="8" w:color="auto"/>
            </w:tcBorders>
          </w:tcPr>
          <w:p>
            <w:pPr>
              <w:jc w:val="right"/>
              <w:ind w:right="105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8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amortization period of intangible assets acquired ranges from one to fifteen years. The Company recorded approximately $4.9 million of goodwill in connection with its fiscal 2012 acquisitions, reflecting the strategic fit and revenue and earnings growth potential of these businesses. Substantially all of the goodwill recognized is expected to be deductible for tax purposes.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Revenues and loss from operations included in the Consolidated Statement of Operations for the three months ended August 31, 2011 from these acquisitions for the period subsequent to the closing of each transaction was approximately $0.4 million and $0.1 million, respectively.</w:t>
      </w:r>
    </w:p>
    <w:p>
      <w:pPr>
        <w:spacing w:after="0" w:line="1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fiscal 2012 acquisitions as if they had occurred at the beginning of each period presented. The pro forma information is presented for informational purposes only and is not necessarily indicative of the results of operations that actually would have been achieved had the acquisitions been consummated as of that time (unaudited, in thousands):</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4"/>
                <w:szCs w:val="14"/>
                <w:b w:val="1"/>
                <w:bCs w:val="1"/>
                <w:color w:val="auto"/>
              </w:rPr>
              <w:t>Three months ended August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8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93,394</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8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5,520</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ectPr>
          <w:pgSz w:w="11900" w:h="16874" w:orient="portrait"/>
          <w:cols w:equalWidth="0" w:num="1">
            <w:col w:w="11420"/>
          </w:cols>
          <w:pgMar w:left="240" w:top="125" w:right="239" w:bottom="0" w:gutter="0" w:footer="0" w:header="0"/>
        </w:sectPr>
      </w:pPr>
    </w:p>
    <w:bookmarkStart w:id="10" w:name="page11"/>
    <w:bookmarkEnd w:id="1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b w:val="1"/>
                <w:bCs w:val="1"/>
                <w:color w:val="auto"/>
                <w:w w:val="97"/>
              </w:rPr>
              <w:t>As of</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9"/>
              </w:rPr>
              <w:t>August 31, 2011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May 31, 2011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66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74,581</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79,800</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(1,875)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(1,769)</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72,706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78,031</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rPr>
                <w:sz w:val="20"/>
                <w:szCs w:val="20"/>
                <w:color w:val="auto"/>
              </w:rPr>
            </w:pPr>
            <w:r>
              <w:rPr>
                <w:rFonts w:ascii="Arial" w:cs="Arial" w:eastAsia="Arial" w:hAnsi="Arial"/>
                <w:sz w:val="18"/>
                <w:szCs w:val="18"/>
                <w:b w:val="1"/>
                <w:bCs w:val="1"/>
                <w:color w:val="auto"/>
                <w:w w:val="79"/>
              </w:rPr>
              <w:t>7.</w:t>
            </w:r>
          </w:p>
        </w:tc>
        <w:tc>
          <w:tcPr>
            <w:tcW w:w="48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Inventories</w:t>
            </w: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vMerge w:val="continue"/>
          </w:tcPr>
          <w:p>
            <w:pPr>
              <w:spacing w:after="0"/>
              <w:rPr>
                <w:sz w:val="24"/>
                <w:szCs w:val="24"/>
                <w:color w:val="auto"/>
              </w:rPr>
            </w:pPr>
          </w:p>
        </w:tc>
        <w:tc>
          <w:tcPr>
            <w:tcW w:w="484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gridSpan w:val="3"/>
          </w:tcPr>
          <w:p>
            <w:pPr>
              <w:spacing w:after="0"/>
              <w:rPr>
                <w:sz w:val="20"/>
                <w:szCs w:val="20"/>
                <w:color w:val="auto"/>
              </w:rPr>
            </w:pPr>
            <w:r>
              <w:rPr>
                <w:rFonts w:ascii="Arial" w:cs="Arial" w:eastAsia="Arial" w:hAnsi="Arial"/>
                <w:sz w:val="18"/>
                <w:szCs w:val="18"/>
                <w:color w:val="auto"/>
              </w:rPr>
              <w:t>Inventories consist of the following:</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40" w:type="dxa"/>
            <w:vAlign w:val="bottom"/>
            <w:gridSpan w:val="6"/>
          </w:tcPr>
          <w:p>
            <w:pPr>
              <w:ind w:left="320"/>
              <w:spacing w:after="0"/>
              <w:rPr>
                <w:sz w:val="20"/>
                <w:szCs w:val="20"/>
                <w:color w:val="auto"/>
              </w:rPr>
            </w:pPr>
            <w:r>
              <w:rPr>
                <w:rFonts w:ascii="Arial" w:cs="Arial" w:eastAsia="Arial" w:hAnsi="Arial"/>
                <w:sz w:val="14"/>
                <w:szCs w:val="14"/>
                <w:b w:val="1"/>
                <w:bCs w:val="1"/>
                <w:color w:val="auto"/>
              </w:rPr>
              <w:t>August 31, 2011</w:t>
            </w:r>
          </w:p>
        </w:tc>
        <w:tc>
          <w:tcPr>
            <w:tcW w:w="60" w:type="dxa"/>
            <w:vAlign w:val="bottom"/>
          </w:tcPr>
          <w:p>
            <w:pPr>
              <w:spacing w:after="0"/>
              <w:rPr>
                <w:sz w:val="14"/>
                <w:szCs w:val="14"/>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May 31, 2011</w:t>
            </w: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Supplies</w:t>
            </w:r>
          </w:p>
        </w:tc>
        <w:tc>
          <w:tcPr>
            <w:tcW w:w="1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2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Inventories are net of reserves for slow-moving and obsolete inventory of approximately $1.1 million and $1.0 million as of August 31, 2011 and May 31, 2011,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Arial" w:cs="Arial" w:eastAsia="Arial" w:hAnsi="Arial"/>
                <w:sz w:val="18"/>
                <w:szCs w:val="18"/>
                <w:b w:val="1"/>
                <w:bCs w:val="1"/>
                <w:color w:val="auto"/>
                <w:w w:val="79"/>
              </w:rPr>
              <w:t>8.</w:t>
            </w:r>
          </w:p>
        </w:tc>
        <w:tc>
          <w:tcPr>
            <w:tcW w:w="5800" w:type="dxa"/>
            <w:vAlign w:val="bottom"/>
          </w:tcPr>
          <w:p>
            <w:pPr>
              <w:ind w:left="520"/>
              <w:spacing w:after="0"/>
              <w:rPr>
                <w:sz w:val="20"/>
                <w:szCs w:val="20"/>
                <w:color w:val="auto"/>
              </w:rPr>
            </w:pPr>
            <w:r>
              <w:rPr>
                <w:rFonts w:ascii="Arial" w:cs="Arial" w:eastAsia="Arial" w:hAnsi="Arial"/>
                <w:sz w:val="18"/>
                <w:szCs w:val="18"/>
                <w:b w:val="1"/>
                <w:bCs w:val="1"/>
                <w:color w:val="auto"/>
              </w:rPr>
              <w:t>Property, Plant and Equipment, net</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August 31, 2011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May 31, 2011</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Machinery and equipment</w:t>
            </w: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(56,398)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(53,414)</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August 31, 2011 and 2010 was approximately $3.6 million and $3.0 million, respectively.</w:t>
      </w:r>
    </w:p>
    <w:p>
      <w:pPr>
        <w:spacing w:after="0" w:line="22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31, 2011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May 31,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2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11,095</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8,965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Accrued worker compensation and health benefits</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 revenues</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1,992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784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August 31, 2011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May 31, 2011</w:t>
            </w:r>
          </w:p>
        </w:tc>
      </w:tr>
      <w:tr>
        <w:trPr>
          <w:trHeight w:val="158"/>
        </w:trPr>
        <w:tc>
          <w:tcPr>
            <w:tcW w:w="784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bl>
    <w:p>
      <w:pPr>
        <w:sectPr>
          <w:pgSz w:w="11900" w:h="16900" w:orient="portrait"/>
          <w:cols w:equalWidth="0" w:num="1">
            <w:col w:w="11420"/>
          </w:cols>
          <w:pgMar w:left="240" w:top="341" w:right="239" w:bottom="0" w:gutter="0" w:footer="0" w:header="0"/>
        </w:sectPr>
      </w:pPr>
    </w:p>
    <w:bookmarkStart w:id="11" w:name="page12"/>
    <w:bookmarkEnd w:id="11"/>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credit facility:</w:t>
            </w:r>
          </w:p>
        </w:tc>
        <w:tc>
          <w:tcPr>
            <w:tcW w:w="2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Revolver</w:t>
            </w:r>
          </w:p>
        </w:tc>
        <w:tc>
          <w:tcPr>
            <w:tcW w:w="296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3,850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13,770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r>
      <w:tr>
        <w:trPr>
          <w:trHeight w:val="210"/>
        </w:trPr>
        <w:tc>
          <w:tcPr>
            <w:tcW w:w="548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(6,551)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(7,226)</w:t>
            </w:r>
          </w:p>
        </w:tc>
      </w:tr>
      <w:tr>
        <w:trPr>
          <w:trHeight w:val="210"/>
        </w:trPr>
        <w:tc>
          <w:tcPr>
            <w:tcW w:w="5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current maturities</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July 2009, the Company entered into its current credit agreement with Bank of America, N.A., JPMorgan Chase Bank, N.A., TD Bank, N.A. and Capital One, N.A., which provided for a $25.0 million term loan and a $55.0 million secured revolving credit facility. The outstanding principal balance of the term loan was subsequently repaid in October 2009 in connection with the Company’s IPO and may not be re-borrowed under the current credit agreement. The Company also repaid the outstanding balance of the revolving credit facility but may re-borrow under the revolving credit facility at any time during the term of the agreement. Borrowings made under the revolving credit facility are payable in July 2012. As of August 31, 2011, there were no outstanding borrowings and a total of $0.9 million of outstanding letters of credit under the existing revolving credit facility.</w:t>
      </w:r>
    </w:p>
    <w:p>
      <w:pPr>
        <w:spacing w:after="0" w:line="178" w:lineRule="exact"/>
        <w:rPr>
          <w:sz w:val="20"/>
          <w:szCs w:val="20"/>
          <w:color w:val="auto"/>
        </w:rPr>
      </w:pPr>
    </w:p>
    <w:p>
      <w:pPr>
        <w:ind w:right="120" w:firstLine="54"/>
        <w:spacing w:after="0" w:line="264" w:lineRule="auto"/>
        <w:rPr>
          <w:sz w:val="20"/>
          <w:szCs w:val="20"/>
          <w:color w:val="auto"/>
        </w:rPr>
      </w:pPr>
      <w:r>
        <w:rPr>
          <w:rFonts w:ascii="Arial" w:cs="Arial" w:eastAsia="Arial" w:hAnsi="Arial"/>
          <w:sz w:val="18"/>
          <w:szCs w:val="18"/>
          <w:color w:val="auto"/>
        </w:rPr>
        <w:t>In December 2009, the Company signed an amendment to its current credit agreement that, among other things, adjusted certain affirmative and negative covenants including delivery of financial statements, the minimum consolidated debt service coverage ratio, the procedures for obtaining lender approval for acquisitions and the removal of the minimum EBITDA requirement.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the amended agreement, borrowings under the credit agreement bear interest at the LIBOR or base rate, at the Company’s option, plus an applicable LIBOR margin ranging from 1.75% to 3.25%, or base rate margin ranging from -0.50% to 0.50%, and a market disruption increase of between 0% and 1.0%, if the lenders determine it is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2011, the interest rate on our revolving credit facility was 2.75%.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acquisitions the Company has completed, it has, at various times, issued subordinated notes payable to the sellers. The maturity of these notes range from three to five years from the date of acquisition with interest rates ranging from 0% to 7%. The Company has discounted these obligations to reflect a 3.5% to 10% imputed interest rate. Unamortized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discount on these notes totaled approximately $0.1 million as of August 31, 2011 and May 31, 2011. Amortization is recorded as interest expense in the Consolidated Statement of Operations. The Company also has payment obligations to the sellers or the shareholders of the sellers pursuant to non-compete agreements which require the sellers and shareholders of the sellers not to compete with the Company. The payment obligations under these agreement s range from 3 to 5 years.</w:t>
      </w:r>
    </w:p>
    <w:p>
      <w:pPr>
        <w:spacing w:after="0" w:line="183"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except as disclosed below. The costs of defense and amounts that may be recovered in such matters may be covered by insurance.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Company was a defendant in two related purported class action lawsuits in California, based upon alleged violations of California labor and employment law: </w:t>
      </w:r>
      <w:r>
        <w:rPr>
          <w:rFonts w:ascii="Arial" w:cs="Arial" w:eastAsia="Arial" w:hAnsi="Arial"/>
          <w:sz w:val="18"/>
          <w:szCs w:val="18"/>
          <w:i w:val="1"/>
          <w:iCs w:val="1"/>
          <w:color w:val="auto"/>
        </w:rPr>
        <w:t>Quiroz v. Mistras Group, Inc., et al</w:t>
      </w:r>
      <w:r>
        <w:rPr>
          <w:rFonts w:ascii="Arial" w:cs="Arial" w:eastAsia="Arial" w:hAnsi="Arial"/>
          <w:sz w:val="18"/>
          <w:szCs w:val="18"/>
          <w:color w:val="auto"/>
        </w:rPr>
        <w:t xml:space="preserve">, U.S. District Court, Central District of California (Case No. CV09-7146 PSG), filed in September 2009, and </w:t>
      </w:r>
      <w:r>
        <w:rPr>
          <w:rFonts w:ascii="Arial" w:cs="Arial" w:eastAsia="Arial" w:hAnsi="Arial"/>
          <w:sz w:val="18"/>
          <w:szCs w:val="18"/>
          <w:i w:val="1"/>
          <w:iCs w:val="1"/>
          <w:color w:val="auto"/>
        </w:rPr>
        <w:t>Ballard</w:t>
      </w:r>
      <w:r>
        <w:rPr>
          <w:rFonts w:ascii="Arial" w:cs="Arial" w:eastAsia="Arial" w:hAnsi="Arial"/>
          <w:sz w:val="18"/>
          <w:szCs w:val="18"/>
          <w:color w:val="auto"/>
        </w:rPr>
        <w:t xml:space="preserve"> </w:t>
      </w:r>
      <w:r>
        <w:rPr>
          <w:rFonts w:ascii="Arial" w:cs="Arial" w:eastAsia="Arial" w:hAnsi="Arial"/>
          <w:sz w:val="18"/>
          <w:szCs w:val="18"/>
          <w:i w:val="1"/>
          <w:iCs w:val="1"/>
          <w:color w:val="auto"/>
        </w:rPr>
        <w:t>v. Mistras Group, Inc., et al</w:t>
      </w:r>
      <w:r>
        <w:rPr>
          <w:rFonts w:ascii="Arial" w:cs="Arial" w:eastAsia="Arial" w:hAnsi="Arial"/>
          <w:sz w:val="18"/>
          <w:szCs w:val="18"/>
          <w:color w:val="auto"/>
        </w:rPr>
        <w:t>, U.S. District Court, Central District of California (Case No. 2:10-cv-03186 (PSG)), filed in March 2010. The settlement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received final court approval in August 2011. The Company took a charge during the quarter ending August 31, 2010 of $0.3 million for these cases.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August 31, 2011, total potential acquisition-related contingent consideration ranged from $0 to $10.7 million and would be payable upon the achievement of specific performance metrics by certain of the acquired companies over the next four years of operations. See Note 5 to these consolidated financial statements for further discussion of the Company’s acquisitions.</w:t>
      </w:r>
    </w:p>
    <w:p>
      <w:pPr>
        <w:spacing w:after="0" w:line="18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ectPr>
          <w:pgSz w:w="11900" w:h="16918" w:orient="portrait"/>
          <w:cols w:equalWidth="0" w:num="1">
            <w:col w:w="11420"/>
          </w:cols>
          <w:pgMar w:left="240" w:top="140" w:right="239" w:bottom="0" w:gutter="0" w:footer="0" w:header="0"/>
        </w:sectPr>
      </w:pPr>
    </w:p>
    <w:bookmarkStart w:id="12" w:name="page13"/>
    <w:bookmarkEnd w:id="12"/>
    <w:p>
      <w:pPr>
        <w:ind w:right="600" w:firstLine="648"/>
        <w:spacing w:after="0" w:line="277"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This segment offers services, products and systems similar to those of our other segments to global markets, principally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South America, but not to customers in China and South Korea, which are served by our Products and Systems segment.</w:t>
      </w:r>
    </w:p>
    <w:p>
      <w:pPr>
        <w:spacing w:after="0" w:line="12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August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660" w:type="dxa"/>
            <w:vAlign w:val="bottom"/>
            <w:gridSpan w:val="2"/>
          </w:tcPr>
          <w:p>
            <w:pPr>
              <w:jc w:val="right"/>
              <w:ind w:right="10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75,689</w:t>
            </w: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55,282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7,513</w:t>
            </w:r>
          </w:p>
        </w:tc>
        <w:tc>
          <w:tcPr>
            <w:tcW w:w="1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9,773</w:t>
            </w:r>
          </w:p>
        </w:tc>
        <w:tc>
          <w:tcPr>
            <w:tcW w:w="1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w:t>
            </w:r>
          </w:p>
        </w:tc>
        <w:tc>
          <w:tcPr>
            <w:tcW w:w="1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91,447</w:t>
            </w:r>
          </w:p>
        </w:tc>
        <w:tc>
          <w:tcPr>
            <w:tcW w:w="2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80" w:hanging="332"/>
        <w:spacing w:after="0" w:line="257" w:lineRule="auto"/>
        <w:tabs>
          <w:tab w:leader="none" w:pos="3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by operating segment include intercompany transactions, which are eliminated in corporate and eliminations. The Services segment had sales to other operating segments of $0.1 million and $0.3 million for the three months ended August 31, 2011 and 2010, respectively. The Products and Systems segment had sales to other operating segments of $1.3 million and $0.8 million for the three months ended August 31, 2011 and 2010, respectively. The International segment had sales to other operating segments of $0.1 million and $0.2 million for the three months ended August 31, 2011 and 2010,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August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660" w:type="dxa"/>
            <w:vAlign w:val="bottom"/>
            <w:gridSpan w:val="2"/>
          </w:tcPr>
          <w:p>
            <w:pPr>
              <w:jc w:val="right"/>
              <w:ind w:right="10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20,308</w:t>
            </w: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3,751</w:t>
            </w:r>
          </w:p>
        </w:tc>
        <w:tc>
          <w:tcPr>
            <w:tcW w:w="1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3,431</w:t>
            </w:r>
          </w:p>
        </w:tc>
        <w:tc>
          <w:tcPr>
            <w:tcW w:w="1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27,420</w:t>
            </w:r>
          </w:p>
        </w:tc>
        <w:tc>
          <w:tcPr>
            <w:tcW w:w="2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August 31,</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8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660" w:type="dxa"/>
            <w:vAlign w:val="bottom"/>
            <w:gridSpan w:val="2"/>
          </w:tcPr>
          <w:p>
            <w:pPr>
              <w:jc w:val="right"/>
              <w:ind w:right="10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7,160</w:t>
            </w: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1,011</w:t>
            </w:r>
          </w:p>
        </w:tc>
        <w:tc>
          <w:tcPr>
            <w:tcW w:w="1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736</w:t>
            </w:r>
          </w:p>
        </w:tc>
        <w:tc>
          <w:tcPr>
            <w:tcW w:w="1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w:t>
            </w:r>
          </w:p>
        </w:tc>
        <w:tc>
          <w:tcPr>
            <w:tcW w:w="1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2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operating segment includes intercompany transactions, which are eliminated in Corporate and eliminations.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2"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Mistras Group, Inc. and Subsidiaries</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9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Notes to Unaudited Consolidated Financial Statements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90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(tabular dollars in thousands, except per share data)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5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4,103</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2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w:t>
            </w: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6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2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60"/>
          </w:cols>
          <w:pgMar w:left="240" w:top="368" w:right="199" w:bottom="0" w:gutter="0" w:footer="0" w:header="0"/>
        </w:sectPr>
      </w:pPr>
    </w:p>
    <w:p>
      <w:pPr>
        <w:jc w:val="center"/>
        <w:ind w:left="504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5040"/>
        <w:spacing w:after="0"/>
        <w:rPr>
          <w:sz w:val="20"/>
          <w:szCs w:val="20"/>
          <w:color w:val="auto"/>
        </w:rPr>
      </w:pPr>
      <w:r>
        <w:rPr>
          <w:rFonts w:ascii="Arial" w:cs="Arial" w:eastAsia="Arial" w:hAnsi="Arial"/>
          <w:sz w:val="12"/>
          <w:szCs w:val="12"/>
          <w:b w:val="1"/>
          <w:bCs w:val="1"/>
          <w:color w:val="auto"/>
        </w:rPr>
        <w:t>August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10795</wp:posOffset>
            </wp:positionV>
            <wp:extent cx="1149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2940"/>
        <w:spacing w:after="0"/>
        <w:rPr>
          <w:sz w:val="20"/>
          <w:szCs w:val="20"/>
          <w:color w:val="auto"/>
        </w:rPr>
      </w:pPr>
      <w:r>
        <w:rPr>
          <w:rFonts w:ascii="Arial" w:cs="Arial" w:eastAsia="Arial" w:hAnsi="Arial"/>
          <w:sz w:val="13"/>
          <w:szCs w:val="13"/>
          <w:b w:val="1"/>
          <w:bCs w:val="1"/>
          <w:color w:val="auto"/>
        </w:rPr>
        <w:t>May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3810</wp:posOffset>
            </wp:positionV>
            <wp:extent cx="11576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740"/>
          </w:cols>
          <w:pgMar w:left="240" w:top="368" w:right="19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18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15,151</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15,900</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10,061</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10,250</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2,596</w:t>
            </w:r>
          </w:p>
        </w:tc>
        <w:tc>
          <w:tcPr>
            <w:tcW w:w="7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28,163</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60"/>
          </w:cols>
          <w:pgMar w:left="240" w:top="368" w:right="199" w:bottom="0" w:gutter="0" w:footer="0" w:header="0"/>
          <w:type w:val="continuous"/>
        </w:sectPr>
      </w:pPr>
    </w:p>
    <w:p>
      <w:pPr>
        <w:jc w:val="center"/>
        <w:ind w:left="504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5040"/>
        <w:spacing w:after="0"/>
        <w:rPr>
          <w:sz w:val="20"/>
          <w:szCs w:val="20"/>
          <w:color w:val="auto"/>
        </w:rPr>
      </w:pPr>
      <w:r>
        <w:rPr>
          <w:rFonts w:ascii="Arial" w:cs="Arial" w:eastAsia="Arial" w:hAnsi="Arial"/>
          <w:sz w:val="12"/>
          <w:szCs w:val="12"/>
          <w:b w:val="1"/>
          <w:bCs w:val="1"/>
          <w:color w:val="auto"/>
        </w:rPr>
        <w:t>August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10795</wp:posOffset>
            </wp:positionV>
            <wp:extent cx="11493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2940"/>
        <w:spacing w:after="0"/>
        <w:rPr>
          <w:sz w:val="20"/>
          <w:szCs w:val="20"/>
          <w:color w:val="auto"/>
        </w:rPr>
      </w:pPr>
      <w:r>
        <w:rPr>
          <w:rFonts w:ascii="Arial" w:cs="Arial" w:eastAsia="Arial" w:hAnsi="Arial"/>
          <w:sz w:val="13"/>
          <w:szCs w:val="13"/>
          <w:b w:val="1"/>
          <w:bCs w:val="1"/>
          <w:color w:val="auto"/>
        </w:rPr>
        <w:t>May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3810</wp:posOffset>
            </wp:positionV>
            <wp:extent cx="11576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740"/>
          </w:cols>
          <w:pgMar w:left="240" w:top="368" w:right="19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18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53,699</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51,745</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10,557</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10,557</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4,714</w:t>
            </w:r>
          </w:p>
        </w:tc>
        <w:tc>
          <w:tcPr>
            <w:tcW w:w="7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0"/>
        </w:trPr>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68,970</w:t>
            </w:r>
          </w:p>
        </w:tc>
        <w:tc>
          <w:tcPr>
            <w:tcW w:w="2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64,146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60"/>
          </w:cols>
          <w:pgMar w:left="240" w:top="368" w:right="199" w:bottom="0" w:gutter="0" w:footer="0" w:header="0"/>
          <w:type w:val="continuous"/>
        </w:sectPr>
      </w:pPr>
    </w:p>
    <w:p>
      <w:pPr>
        <w:jc w:val="center"/>
        <w:ind w:left="504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5040"/>
        <w:spacing w:after="0"/>
        <w:rPr>
          <w:sz w:val="20"/>
          <w:szCs w:val="20"/>
          <w:color w:val="auto"/>
        </w:rPr>
      </w:pPr>
      <w:r>
        <w:rPr>
          <w:rFonts w:ascii="Arial" w:cs="Arial" w:eastAsia="Arial" w:hAnsi="Arial"/>
          <w:sz w:val="12"/>
          <w:szCs w:val="12"/>
          <w:b w:val="1"/>
          <w:bCs w:val="1"/>
          <w:color w:val="auto"/>
        </w:rPr>
        <w:t>August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10795</wp:posOffset>
            </wp:positionV>
            <wp:extent cx="1149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94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2940"/>
        <w:spacing w:after="0"/>
        <w:rPr>
          <w:sz w:val="20"/>
          <w:szCs w:val="20"/>
          <w:color w:val="auto"/>
        </w:rPr>
      </w:pPr>
      <w:r>
        <w:rPr>
          <w:rFonts w:ascii="Arial" w:cs="Arial" w:eastAsia="Arial" w:hAnsi="Arial"/>
          <w:sz w:val="13"/>
          <w:szCs w:val="13"/>
          <w:b w:val="1"/>
          <w:bCs w:val="1"/>
          <w:color w:val="auto"/>
        </w:rPr>
        <w:t>May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3810</wp:posOffset>
            </wp:positionV>
            <wp:extent cx="11576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740"/>
          </w:cols>
          <w:pgMar w:left="240" w:top="368" w:right="19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14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114,119</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109,978</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21,229</w:t>
            </w:r>
          </w:p>
        </w:tc>
        <w:tc>
          <w:tcPr>
            <w:tcW w:w="6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23,235</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12,049</w:t>
            </w:r>
          </w:p>
        </w:tc>
        <w:tc>
          <w:tcPr>
            <w:tcW w:w="6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2,486</w:t>
            </w:r>
          </w:p>
        </w:tc>
        <w:tc>
          <w:tcPr>
            <w:tcW w:w="6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r>
      <w:tr>
        <w:trPr>
          <w:trHeight w:val="210"/>
        </w:trPr>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149,883</w:t>
            </w:r>
          </w:p>
        </w:tc>
        <w:tc>
          <w:tcPr>
            <w:tcW w:w="2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140,618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774"/>
              <w:spacing w:after="0"/>
              <w:rPr>
                <w:sz w:val="20"/>
                <w:szCs w:val="20"/>
                <w:color w:val="auto"/>
              </w:rPr>
            </w:pPr>
            <w:r>
              <w:rPr>
                <w:rFonts w:ascii="Arial" w:cs="Arial" w:eastAsia="Arial" w:hAnsi="Arial"/>
                <w:sz w:val="18"/>
                <w:szCs w:val="18"/>
                <w:color w:val="auto"/>
                <w:w w:val="89"/>
              </w:rPr>
              <w:t>18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8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4320" w:type="dxa"/>
            <w:vAlign w:val="bottom"/>
            <w:gridSpan w:val="4"/>
          </w:tcPr>
          <w:p>
            <w:pPr>
              <w:jc w:val="center"/>
              <w:ind w:left="1270"/>
              <w:spacing w:after="0"/>
              <w:rPr>
                <w:sz w:val="20"/>
                <w:szCs w:val="20"/>
                <w:color w:val="auto"/>
              </w:rPr>
            </w:pPr>
            <w:r>
              <w:rPr>
                <w:rFonts w:ascii="Arial" w:cs="Arial" w:eastAsia="Arial" w:hAnsi="Arial"/>
                <w:sz w:val="18"/>
                <w:szCs w:val="18"/>
                <w:b w:val="1"/>
                <w:bCs w:val="1"/>
                <w:color w:val="auto"/>
                <w:w w:val="90"/>
              </w:rPr>
              <w:t>Mistras Group, Inc. and Subsidiaries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580" w:type="dxa"/>
            <w:vAlign w:val="bottom"/>
            <w:gridSpan w:val="9"/>
          </w:tcPr>
          <w:p>
            <w:pPr>
              <w:ind w:left="720"/>
              <w:spacing w:after="0"/>
              <w:rPr>
                <w:sz w:val="20"/>
                <w:szCs w:val="20"/>
                <w:color w:val="auto"/>
              </w:rPr>
            </w:pPr>
            <w:r>
              <w:rPr>
                <w:rFonts w:ascii="Arial" w:cs="Arial" w:eastAsia="Arial" w:hAnsi="Arial"/>
                <w:sz w:val="18"/>
                <w:szCs w:val="18"/>
                <w:b w:val="1"/>
                <w:bCs w:val="1"/>
                <w:color w:val="auto"/>
              </w:rPr>
              <w:t>Notes to Unaudited Consolidated Financial Statements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580" w:type="dxa"/>
            <w:vAlign w:val="bottom"/>
            <w:gridSpan w:val="9"/>
          </w:tcPr>
          <w:p>
            <w:pPr>
              <w:jc w:val="center"/>
              <w:ind w:right="2920"/>
              <w:spacing w:after="0"/>
              <w:rPr>
                <w:sz w:val="20"/>
                <w:szCs w:val="20"/>
                <w:color w:val="auto"/>
              </w:rPr>
            </w:pPr>
            <w:r>
              <w:rPr>
                <w:rFonts w:ascii="Arial" w:cs="Arial" w:eastAsia="Arial" w:hAnsi="Arial"/>
                <w:sz w:val="18"/>
                <w:szCs w:val="18"/>
                <w:b w:val="1"/>
                <w:bCs w:val="1"/>
                <w:color w:val="auto"/>
                <w:w w:val="89"/>
              </w:rPr>
              <w:t>(tabular dollars in thousands, except per share data)</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24"/>
                <w:szCs w:val="24"/>
                <w:color w:val="auto"/>
              </w:rPr>
            </w:pPr>
          </w:p>
        </w:tc>
        <w:tc>
          <w:tcPr>
            <w:tcW w:w="3960" w:type="dxa"/>
            <w:vAlign w:val="bottom"/>
            <w:gridSpan w:val="4"/>
          </w:tcPr>
          <w:p>
            <w:pPr>
              <w:jc w:val="center"/>
              <w:ind w:right="27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August 31, 2011</w:t>
            </w:r>
          </w:p>
        </w:tc>
        <w:tc>
          <w:tcPr>
            <w:tcW w:w="300" w:type="dxa"/>
            <w:vAlign w:val="bottom"/>
          </w:tcPr>
          <w:p>
            <w:pPr>
              <w:spacing w:after="0"/>
              <w:rPr>
                <w:sz w:val="14"/>
                <w:szCs w:val="14"/>
                <w:color w:val="auto"/>
              </w:rPr>
            </w:pPr>
          </w:p>
        </w:tc>
        <w:tc>
          <w:tcPr>
            <w:tcW w:w="3960" w:type="dxa"/>
            <w:vAlign w:val="bottom"/>
            <w:gridSpan w:val="4"/>
          </w:tcPr>
          <w:p>
            <w:pPr>
              <w:jc w:val="center"/>
              <w:ind w:right="2720"/>
              <w:spacing w:after="0"/>
              <w:rPr>
                <w:sz w:val="20"/>
                <w:szCs w:val="20"/>
                <w:color w:val="auto"/>
              </w:rPr>
            </w:pPr>
            <w:r>
              <w:rPr>
                <w:rFonts w:ascii="Arial" w:cs="Arial" w:eastAsia="Arial" w:hAnsi="Arial"/>
                <w:sz w:val="14"/>
                <w:szCs w:val="14"/>
                <w:b w:val="1"/>
                <w:bCs w:val="1"/>
                <w:color w:val="auto"/>
                <w:w w:val="93"/>
              </w:rPr>
              <w:t>May 31,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184,277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188,693</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34,996</w:t>
            </w:r>
          </w:p>
        </w:tc>
        <w:tc>
          <w:tcPr>
            <w:tcW w:w="3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36,450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31,658</w:t>
            </w:r>
          </w:p>
        </w:tc>
        <w:tc>
          <w:tcPr>
            <w:tcW w:w="300" w:type="dxa"/>
            <w:vAlign w:val="bottom"/>
          </w:tcPr>
          <w:p>
            <w:pPr>
              <w:spacing w:after="0"/>
              <w:rPr>
                <w:sz w:val="18"/>
                <w:szCs w:val="18"/>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26,431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w:t>
            </w:r>
          </w:p>
        </w:tc>
        <w:tc>
          <w:tcPr>
            <w:tcW w:w="3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(2,937)</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248,517</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248,637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-2265680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-2265680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months ended August 31, 2011 and 2010, respectively,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August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8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080" w:type="dxa"/>
            <w:vAlign w:val="bottom"/>
            <w:gridSpan w:val="2"/>
          </w:tcPr>
          <w:p>
            <w:pPr>
              <w:jc w:val="right"/>
              <w:ind w:right="102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71,476</w:t>
            </w: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54,767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Americas</w:t>
            </w:r>
          </w:p>
        </w:tc>
        <w:tc>
          <w:tcPr>
            <w:tcW w:w="1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9,798</w:t>
            </w:r>
          </w:p>
        </w:tc>
        <w:tc>
          <w:tcPr>
            <w:tcW w:w="1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Europe</w:t>
            </w:r>
          </w:p>
        </w:tc>
        <w:tc>
          <w:tcPr>
            <w:tcW w:w="1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5,600</w:t>
            </w:r>
          </w:p>
        </w:tc>
        <w:tc>
          <w:tcPr>
            <w:tcW w:w="1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1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4,573</w:t>
            </w:r>
          </w:p>
        </w:tc>
        <w:tc>
          <w:tcPr>
            <w:tcW w:w="1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91,447</w:t>
            </w:r>
          </w:p>
        </w:tc>
        <w:tc>
          <w:tcPr>
            <w:tcW w:w="2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368" w:right="199" w:bottom="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(Securities Act), and Section 21E of the Securities Exchange Act of 1934, as amended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 and is subject to risks and uncertainties that could cause actual performance or results to differ materially from those expressed in the statements. Important factors that could cause such differences include, but are not limited to the factors discussed under the “Risk Factors” section below.</w:t>
      </w:r>
    </w:p>
    <w:p>
      <w:pPr>
        <w:spacing w:after="0" w:line="16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is a discussion and analysis of our financial condition and results of operations and should be read together with our condensed consolidated financial statements and related notes to the condensed consolidated financial statements included elsewhere in this Quarterly Report on Form 10-Q and our audited consolidated financial statements and related notes to the audited consolidated financial statements included in our Annual Report on Form 10-K. In this quarterly report, our fiscal years, which end on May 31, are identified according to the calendar year in which they end (e.g., the fiscal year ended May 31, 2011 is referred to as “fiscal 2011”), and unless otherwise specified or the context otherwise requires, “Mistras,” “the Company,” “we,” “us” and “our” refer to Mistras Group, Inc. and its consolidated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 leading “one source” global provider of technology-enabled asset protection solutions used to evaluate the structural integrity and reliability of critical energy, industrial and public infrastructure. We combine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Given the role our services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industries. During fiscal 2011, we provided our asset protection solutions to approximately 5,600 customers. As of August 31, 2011, we had approximately 2,800 employees, including approximately 30 Ph.D.’s and 100 other degreed engineers and certified technicians, in approximately 76 offices across 15 countries. We have established long-term relationships as a critical solutions provider to many leading companies in our target markets. Our current principal market is the oil and gas industry, which accounted for approximately 56% and 61% of our first quarter revenues for fiscal 2012 and 2011, respectively.</w:t>
      </w:r>
    </w:p>
    <w:p>
      <w:pPr>
        <w:spacing w:after="0" w:line="18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have experienced compounded annual growth rate (CAGR) for revenue of 31% over the last three fiscal years, including the impact of acquisitions and currency fluctuations. We believe further growth can be realized in all of our target markets. Concurrent with this growth, we have worked to build our infrastructure to profitably absorb additional growth and have made a number of small acquisitions in an effort to leverage our fixed costs, grow our base of experienced, certified personnel, expand our product and technical capabilities and increase our geographical reach.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competitive advantages over our competition.</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global economy continues to be fragile. Global financial markets continue to experience uncertainty, including tightened liquidity and credit availability, relatively low consumer confidence, slower economic growth, persistently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August 31, 2011 compared to the three months ended August 31,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August 31, 2011 and 2010 were as follows:</w:t>
      </w:r>
    </w:p>
    <w:p>
      <w:pPr>
        <w:spacing w:after="0" w:line="217"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For the three months ended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6350</wp:posOffset>
            </wp:positionV>
            <wp:extent cx="24872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7320"/>
        <w:spacing w:after="0"/>
        <w:tabs>
          <w:tab w:leader="none" w:pos="940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-3175</wp:posOffset>
            </wp:positionV>
            <wp:extent cx="24872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8080"/>
        <w:spacing w:after="0" w:line="235"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0</wp:posOffset>
            </wp:positionV>
            <wp:extent cx="651764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ind w:left="340"/>
        <w:spacing w:after="0"/>
        <w:rPr>
          <w:sz w:val="20"/>
          <w:szCs w:val="20"/>
          <w:color w:val="auto"/>
        </w:rPr>
      </w:pPr>
      <w:r>
        <w:rPr>
          <w:rFonts w:ascii="Arial" w:cs="Arial" w:eastAsia="Arial" w:hAnsi="Arial"/>
          <w:sz w:val="16"/>
          <w:szCs w:val="16"/>
          <w:b w:val="1"/>
          <w:bCs w:val="1"/>
          <w:color w:val="auto"/>
        </w:rPr>
        <w:t>Statement of Operations Data</w:t>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91,447</w:t>
            </w: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68,410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60,527</w:t>
            </w:r>
          </w:p>
        </w:tc>
        <w:tc>
          <w:tcPr>
            <w:tcW w:w="7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44,668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3,500</w:t>
            </w:r>
          </w:p>
        </w:tc>
        <w:tc>
          <w:tcPr>
            <w:tcW w:w="7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8"/>
                <w:szCs w:val="18"/>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27,420</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19,381</w:t>
            </w:r>
          </w:p>
        </w:tc>
        <w:tc>
          <w:tcPr>
            <w:tcW w:w="70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15,479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w:t>
            </w:r>
          </w:p>
        </w:tc>
        <w:tc>
          <w:tcPr>
            <w:tcW w:w="7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1,479</w:t>
            </w:r>
          </w:p>
        </w:tc>
        <w:tc>
          <w:tcPr>
            <w:tcW w:w="7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Legal reserve</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r>
      <w:tr>
        <w:trPr>
          <w:trHeight w:val="210"/>
        </w:trPr>
        <w:tc>
          <w:tcPr>
            <w:tcW w:w="52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661</w:t>
            </w:r>
          </w:p>
        </w:tc>
        <w:tc>
          <w:tcPr>
            <w:tcW w:w="7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690</w:t>
            </w:r>
          </w:p>
        </w:tc>
      </w:tr>
      <w:tr>
        <w:trPr>
          <w:trHeight w:val="210"/>
        </w:trPr>
        <w:tc>
          <w:tcPr>
            <w:tcW w:w="5260" w:type="dxa"/>
            <w:vAlign w:val="bottom"/>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9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2,116</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r>
      <w:tr>
        <w:trPr>
          <w:trHeight w:val="210"/>
        </w:trPr>
        <w:tc>
          <w:tcPr>
            <w:tcW w:w="52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 net of taxes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0"/>
        </w:trPr>
        <w:tc>
          <w:tcPr>
            <w:tcW w:w="526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9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EBITDA and Adjusted EBITDA, non-GAAP measures explained below, for the three months ended August 31, 2011 and 2010, were as follows: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320" w:type="dxa"/>
            <w:vAlign w:val="bottom"/>
            <w:tcBorders>
              <w:bottom w:val="single" w:sz="8" w:color="auto"/>
            </w:tcBorders>
            <w:gridSpan w:val="4"/>
          </w:tcPr>
          <w:p>
            <w:pPr>
              <w:jc w:val="right"/>
              <w:ind w:right="106"/>
              <w:spacing w:after="0"/>
              <w:rPr>
                <w:sz w:val="20"/>
                <w:szCs w:val="20"/>
                <w:color w:val="auto"/>
              </w:rPr>
            </w:pPr>
            <w:r>
              <w:rPr>
                <w:rFonts w:ascii="Arial" w:cs="Arial" w:eastAsia="Arial" w:hAnsi="Arial"/>
                <w:sz w:val="14"/>
                <w:szCs w:val="14"/>
                <w:b w:val="1"/>
                <w:bCs w:val="1"/>
                <w:color w:val="auto"/>
              </w:rPr>
              <w:t>For the three months ended August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8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40" w:type="dxa"/>
            <w:vAlign w:val="bottom"/>
            <w:gridSpan w:val="3"/>
          </w:tcPr>
          <w:p>
            <w:pPr>
              <w:jc w:val="right"/>
              <w:ind w:right="846"/>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2620" w:type="dxa"/>
            <w:vAlign w:val="bottom"/>
            <w:gridSpan w:val="2"/>
          </w:tcPr>
          <w:p>
            <w:pPr>
              <w:jc w:val="right"/>
              <w:ind w:right="10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3,228</w:t>
            </w:r>
          </w:p>
        </w:tc>
        <w:tc>
          <w:tcPr>
            <w:tcW w:w="1220" w:type="dxa"/>
            <w:vAlign w:val="bottom"/>
          </w:tcPr>
          <w:p>
            <w:pPr>
              <w:jc w:val="right"/>
              <w:ind w:right="1066"/>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1,592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661</w:t>
            </w: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2,116</w:t>
            </w:r>
          </w:p>
        </w:tc>
        <w:tc>
          <w:tcPr>
            <w:tcW w:w="1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1,054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4,979</w:t>
            </w: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4,142</w:t>
            </w: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EBITDA</w:t>
            </w:r>
          </w:p>
        </w:tc>
        <w:tc>
          <w:tcPr>
            <w:tcW w:w="1440" w:type="dxa"/>
            <w:vAlign w:val="bottom"/>
          </w:tcPr>
          <w:p>
            <w:pPr>
              <w:spacing w:after="0"/>
              <w:rPr>
                <w:sz w:val="18"/>
                <w:szCs w:val="18"/>
                <w:color w:val="auto"/>
              </w:rPr>
            </w:pPr>
          </w:p>
        </w:tc>
        <w:tc>
          <w:tcPr>
            <w:tcW w:w="1180" w:type="dxa"/>
            <w:vAlign w:val="bottom"/>
            <w:tcBorders>
              <w:top w:val="single" w:sz="8" w:color="auto"/>
            </w:tcBorders>
          </w:tcPr>
          <w:p>
            <w:pPr>
              <w:jc w:val="right"/>
              <w:ind w:right="10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10,984</w:t>
            </w:r>
          </w:p>
        </w:tc>
        <w:tc>
          <w:tcPr>
            <w:tcW w:w="300" w:type="dxa"/>
            <w:vAlign w:val="bottom"/>
          </w:tcPr>
          <w:p>
            <w:pPr>
              <w:spacing w:after="0"/>
              <w:rPr>
                <w:sz w:val="18"/>
                <w:szCs w:val="18"/>
                <w:color w:val="auto"/>
              </w:rPr>
            </w:pPr>
          </w:p>
        </w:tc>
        <w:tc>
          <w:tcPr>
            <w:tcW w:w="1220" w:type="dxa"/>
            <w:vAlign w:val="bottom"/>
            <w:tcBorders>
              <w:top w:val="single" w:sz="8" w:color="auto"/>
            </w:tcBorders>
          </w:tcPr>
          <w:p>
            <w:pPr>
              <w:jc w:val="right"/>
              <w:ind w:right="106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Legal reserve</w:t>
            </w:r>
          </w:p>
        </w:tc>
        <w:tc>
          <w:tcPr>
            <w:tcW w:w="1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1,002</w:t>
            </w:r>
          </w:p>
        </w:tc>
        <w:tc>
          <w:tcPr>
            <w:tcW w:w="1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r>
      <w:tr>
        <w:trPr>
          <w:trHeight w:val="21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6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EBITDA and Adjusted EBITDA are performance measures used by management that are not calculated in accordance with U.S. generally accepted accounting principles (GAAP). EBITDA is defined in this Quarterly Report as net income attributable to Mistras Group, Inc. plus: interest expense, provision for income taxes and depreciation and amortization. Adjusted EBITDA is defined in this Quarterly Report as net income attributable to Mistras Group, Inc. plus: interest expense, provision for income taxes, depreciation and amortization, stock-based compensation expense, and, if applicable, certain acquisition related costs and certain one-time and generally non-recurring items (which items are described below or in the reconciliation table above).</w:t>
      </w:r>
    </w:p>
    <w:p>
      <w:pPr>
        <w:spacing w:after="0" w:line="15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on which to base executive and employee incentive compensation programs.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excluded by management when evaluating the underlying performance of our business operations.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Revenues were $91.4 million for three months ended August 31, 2011 compared to $68.4 million for three months ended August 31, 2010.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months ended August 31, 2011 and 2010 were as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Three months ended August 31,</w:t>
            </w:r>
          </w:p>
        </w:tc>
      </w:tr>
      <w:tr>
        <w:trPr>
          <w:trHeight w:val="142"/>
        </w:trPr>
        <w:tc>
          <w:tcPr>
            <w:tcW w:w="35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824"/>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99"/>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gridSpan w:val="2"/>
          </w:tcPr>
          <w:p>
            <w:pPr>
              <w:jc w:val="center"/>
              <w:ind w:left="74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4"/>
              <w:spacing w:after="0"/>
              <w:rPr>
                <w:sz w:val="20"/>
                <w:szCs w:val="20"/>
                <w:color w:val="auto"/>
              </w:rPr>
            </w:pPr>
            <w:r>
              <w:rPr>
                <w:rFonts w:ascii="Arial" w:cs="Arial" w:eastAsia="Arial" w:hAnsi="Arial"/>
                <w:sz w:val="18"/>
                <w:szCs w:val="18"/>
                <w:color w:val="auto"/>
              </w:rPr>
              <w:t>75,689</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55,282</w:t>
            </w:r>
          </w:p>
        </w:tc>
      </w:tr>
      <w:tr>
        <w:trPr>
          <w:trHeight w:val="178"/>
        </w:trPr>
        <w:tc>
          <w:tcPr>
            <w:tcW w:w="35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7,513</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5,310</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9,773</w:t>
            </w:r>
          </w:p>
        </w:tc>
        <w:tc>
          <w:tcPr>
            <w:tcW w:w="7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9,040</w:t>
            </w:r>
          </w:p>
        </w:tc>
        <w:tc>
          <w:tcPr>
            <w:tcW w:w="100" w:type="dxa"/>
            <w:vAlign w:val="bottom"/>
          </w:tcPr>
          <w:p>
            <w:pPr>
              <w:spacing w:after="0"/>
              <w:rPr>
                <w:sz w:val="18"/>
                <w:szCs w:val="18"/>
                <w:color w:val="auto"/>
              </w:rPr>
            </w:pPr>
          </w:p>
        </w:tc>
      </w:tr>
      <w:tr>
        <w:trPr>
          <w:trHeight w:val="216"/>
        </w:trPr>
        <w:tc>
          <w:tcPr>
            <w:tcW w:w="6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(1,528)</w:t>
            </w:r>
          </w:p>
        </w:tc>
        <w:tc>
          <w:tcPr>
            <w:tcW w:w="7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(1,222)</w:t>
            </w:r>
          </w:p>
        </w:tc>
      </w:tr>
      <w:tr>
        <w:trPr>
          <w:trHeight w:val="210"/>
        </w:trPr>
        <w:tc>
          <w:tcPr>
            <w:tcW w:w="6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91,447</w:t>
            </w: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estimate our growth rates for the three months ended August 31, 2011 and 2010, respectively, were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2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1"/>
              </w:rPr>
              <w:t>For the three months ended August 31,</w:t>
            </w:r>
          </w:p>
        </w:tc>
      </w:tr>
      <w:tr>
        <w:trPr>
          <w:trHeight w:val="142"/>
        </w:trPr>
        <w:tc>
          <w:tcPr>
            <w:tcW w:w="44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9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r>
      <w:tr>
        <w:trPr>
          <w:trHeight w:val="180"/>
        </w:trPr>
        <w:tc>
          <w:tcPr>
            <w:tcW w:w="4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80" w:type="dxa"/>
            <w:vAlign w:val="bottom"/>
            <w:gridSpan w:val="4"/>
          </w:tcPr>
          <w:p>
            <w:pPr>
              <w:jc w:val="center"/>
              <w:ind w:left="776"/>
              <w:spacing w:after="0"/>
              <w:rPr>
                <w:sz w:val="20"/>
                <w:szCs w:val="20"/>
                <w:color w:val="auto"/>
              </w:rPr>
            </w:pPr>
            <w:r>
              <w:rPr>
                <w:rFonts w:ascii="Arial" w:cs="Arial" w:eastAsia="Arial" w:hAnsi="Arial"/>
                <w:sz w:val="14"/>
                <w:szCs w:val="14"/>
                <w:b w:val="1"/>
                <w:bCs w:val="1"/>
                <w:color w:val="auto"/>
                <w:w w:val="90"/>
              </w:rPr>
              <w:t>($ in thousands)</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8"/>
        </w:trPr>
        <w:tc>
          <w:tcPr>
            <w:tcW w:w="4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23,037</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12,321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r>
      <w:tr>
        <w:trPr>
          <w:trHeight w:val="216"/>
        </w:trPr>
        <w:tc>
          <w:tcPr>
            <w:tcW w:w="44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Comprised of:</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 of acquisition growth</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0"/>
        </w:trPr>
        <w:tc>
          <w:tcPr>
            <w:tcW w:w="4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r>
      <w:tr>
        <w:trPr>
          <w:trHeight w:val="20"/>
        </w:trPr>
        <w:tc>
          <w:tcPr>
            <w:tcW w:w="4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Revenues increased $23.0 million, or approximately 34%, for the three months ended August 31, 2011 compared to the three months ended August 31, 2010 as a result of growth in all our segments, but principally attributable to growth in our Services segment. For the first quarter of fiscal 2012 and 2011, we estimate that our organic growth rate, as compared to growth driven by acquisitions, was approximately 19% and 15%, respectively. This organic growth was driven by an increase in demand for our inspection services coupled with an increase in our “run and maintain” or “evergreen” contracts. In the first quarter of fiscal 2012, we estimate that our acquisition growth was approximately 12% compared to approximately 8%, in the first quarter of fiscal 2011. We completed three acquisitions during the three months ended August 31, 2011 and two acquisitions during the three months ended August 31, 2010.</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continued to experience growth in many of our target markets during the first quarter of fiscal 2012. Oil and gas is our largest target market and represented approximately 56% of total revenues in the first quarter of fiscal 2012, compared to approximately 61% in the first quarter of fiscal 2011. Oil and gas revenue in the first quarter of fiscal 2012 increased approximately 24% over the prior year with the largest increases coming from the midstream and upstream sections of the oil and gas industry. We also experienced growth in several of our other target markets outside of oil and gas, including chemical, industrial markets, and aerospace and defense. Taken as a group, revenues for all target markets other than oil and gas grew approximately 48% in the first quarter of fiscal 2012 over the prior year period. Our largest customer in both periods was BP plc., (BP), accounting for approximately 16% of our revenues in the first quarter of fiscal 2012 and approximately 18% in the first quarter of fiscal 2011. Our top ten customers represented approximately 40% of our revenues in the first quarter of fiscal 2012 compared to 44% in the same quarter last year.</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was $27.4 million and increased $6.6 million, or 32% in the first quarter of fiscal 2012 compared to $20.8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2011. Gross profit by segment for the three months ended August 31, 2011 and 2010 were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4"/>
                <w:szCs w:val="14"/>
                <w:b w:val="1"/>
                <w:bCs w:val="1"/>
                <w:color w:val="auto"/>
              </w:rPr>
              <w:t>Three months ended August 31,</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00" w:type="dxa"/>
            <w:vAlign w:val="bottom"/>
            <w:gridSpan w:val="3"/>
          </w:tcPr>
          <w:p>
            <w:pPr>
              <w:jc w:val="right"/>
              <w:ind w:right="766"/>
              <w:spacing w:after="0" w:line="142" w:lineRule="exact"/>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20" w:type="dxa"/>
            <w:vAlign w:val="bottom"/>
            <w:gridSpan w:val="2"/>
          </w:tcPr>
          <w:p>
            <w:pPr>
              <w:jc w:val="right"/>
              <w:ind w:right="10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20,308</w:t>
            </w: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15,001</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3,751</w:t>
            </w:r>
          </w:p>
        </w:tc>
        <w:tc>
          <w:tcPr>
            <w:tcW w:w="1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3,431</w:t>
            </w:r>
          </w:p>
        </w:tc>
        <w:tc>
          <w:tcPr>
            <w:tcW w:w="1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0"/>
        </w:trPr>
        <w:tc>
          <w:tcPr>
            <w:tcW w:w="4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27,420</w:t>
            </w:r>
          </w:p>
        </w:tc>
        <w:tc>
          <w:tcPr>
            <w:tcW w:w="3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a percentage of revenues, our gross profit and its components for the three months ended August 31, 2011 and 2010, respectively, were as follows: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80" w:type="dxa"/>
            <w:vAlign w:val="bottom"/>
            <w:tcBorders>
              <w:bottom w:val="single" w:sz="8" w:color="auto"/>
            </w:tcBorders>
            <w:gridSpan w:val="4"/>
          </w:tcPr>
          <w:p>
            <w:pPr>
              <w:jc w:val="center"/>
              <w:ind w:left="548"/>
              <w:spacing w:after="0"/>
              <w:rPr>
                <w:sz w:val="20"/>
                <w:szCs w:val="20"/>
                <w:color w:val="auto"/>
              </w:rPr>
            </w:pPr>
            <w:r>
              <w:rPr>
                <w:rFonts w:ascii="Arial" w:cs="Arial" w:eastAsia="Arial" w:hAnsi="Arial"/>
                <w:sz w:val="14"/>
                <w:szCs w:val="14"/>
                <w:b w:val="1"/>
                <w:bCs w:val="1"/>
                <w:color w:val="auto"/>
                <w:w w:val="91"/>
              </w:rPr>
              <w:t>Three months ended August 31,</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80" w:type="dxa"/>
            <w:vAlign w:val="bottom"/>
            <w:gridSpan w:val="3"/>
          </w:tcPr>
          <w:p>
            <w:pPr>
              <w:jc w:val="center"/>
              <w:ind w:right="499"/>
              <w:spacing w:after="0"/>
              <w:rPr>
                <w:sz w:val="20"/>
                <w:szCs w:val="20"/>
                <w:color w:val="auto"/>
              </w:rPr>
            </w:pPr>
            <w:r>
              <w:rPr>
                <w:rFonts w:ascii="Arial" w:cs="Arial" w:eastAsia="Arial" w:hAnsi="Arial"/>
                <w:sz w:val="14"/>
                <w:szCs w:val="14"/>
                <w:b w:val="1"/>
                <w:bCs w:val="1"/>
                <w:color w:val="auto"/>
                <w:w w:val="92"/>
              </w:rPr>
              <w:t>($ in thousands)</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80" w:type="dxa"/>
            <w:vAlign w:val="bottom"/>
            <w:gridSpan w:val="2"/>
            <w:shd w:val="clear" w:color="auto" w:fill="CCEEFF"/>
          </w:tcPr>
          <w:p>
            <w:pPr>
              <w:jc w:val="right"/>
              <w:ind w:right="102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27,420</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Gross profit % comprised of:</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 of revenues</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1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4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 % increase (decrease) from prior year</w:t>
            </w:r>
          </w:p>
        </w:tc>
        <w:tc>
          <w:tcPr>
            <w:tcW w:w="1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percentage of revenues, our gross profit decreased 40 basis points to approximately 30% in the first quarter of fiscal 2012 compared to the first quarter of fiscal 2011. Cost of revenues, excluding depreciation, as a percentage of revenues was approximately 66% and 65% in the first quarter of fiscal 2012 and fiscal 2011, respectively. Depreciation expense included in the determination of gross profit for the first quarter of fiscal 2012 and fiscal 2011 was $3.5 million and $3.0 million, respectively.</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Despite the increase in our revenues, our gross profit as a percentage of revenues decreased approximately 40 basis points. This is primarily attributable to a change in the mix of revenues generated during the quarter. For example, revenues from the oil and gas industry increased approximately 24% during the first quarter of fiscal 2012 and represented approximately 56% of total revenues. The revenue from this industry often has lower gross margins than other industries because these contracts tend to be longer and have a high concentration of traditional NDT services. As a result of these lower margins, revenue</w:t>
      </w:r>
    </w:p>
    <w:p>
      <w:pPr>
        <w:sectPr>
          <w:pgSz w:w="11900" w:h="16838" w:orient="portrait"/>
          <w:cols w:equalWidth="0" w:num="1">
            <w:col w:w="11420"/>
          </w:cols>
          <w:pgMar w:left="240" w:top="140" w:right="239" w:bottom="0" w:gutter="0" w:footer="0" w:header="0"/>
        </w:sectPr>
      </w:pPr>
    </w:p>
    <w:bookmarkStart w:id="17" w:name="page18"/>
    <w:bookmarkEnd w:id="17"/>
    <w:p>
      <w:pPr>
        <w:ind w:right="120"/>
        <w:spacing w:after="0" w:line="270" w:lineRule="auto"/>
        <w:rPr>
          <w:sz w:val="20"/>
          <w:szCs w:val="20"/>
          <w:color w:val="auto"/>
        </w:rPr>
      </w:pPr>
      <w:r>
        <w:rPr>
          <w:rFonts w:ascii="Arial" w:cs="Arial" w:eastAsia="Arial" w:hAnsi="Arial"/>
          <w:sz w:val="17"/>
          <w:szCs w:val="17"/>
          <w:color w:val="auto"/>
        </w:rPr>
        <w:t>growth in this category tends to decrease overall gross margins. Offsetting the impact of higher revenues from the oil and gas industry was revenue growth in all other industries of approximately 48% in the first quarter of fiscal 2012. Advanced NDT services, which have higher margins than traditional NDT services, increased more than 60% during the first quarter of fiscal 2012 and now represents approximately 16% of our Services segment revenues compared to approximately 14% in the comparable quarter of fiscal 2011. Our revenue growth is also attributable to sales from new contracts, which drive market share growth but are competitive from a pricing perspective in the short term. While these competitive pricing contracts remain a focus of many of our new and existing Services segment customers, we were able to improve our gross profit as a percentage of revenues by focusing on utilization rates of our service technicians and other controllable costs of revenues. These costs, as a percentage of revenues, decreased to approximately 13% during the first quarter of fiscal 2012 from approximately 14% during the first quarter of fiscal 2011. Historically, by introducing more advanced NDT tools to our Services segment customers, margin enhancement follows.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by segment for the first quarter of fiscal 2012 and 2011, was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306"/>
              <w:spacing w:after="0"/>
              <w:rPr>
                <w:sz w:val="20"/>
                <w:szCs w:val="20"/>
                <w:color w:val="auto"/>
              </w:rPr>
            </w:pPr>
            <w:r>
              <w:rPr>
                <w:rFonts w:ascii="Arial" w:cs="Arial" w:eastAsia="Arial" w:hAnsi="Arial"/>
                <w:sz w:val="14"/>
                <w:szCs w:val="14"/>
                <w:b w:val="1"/>
                <w:bCs w:val="1"/>
                <w:color w:val="auto"/>
              </w:rPr>
              <w:t>Three months ended August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0" w:type="dxa"/>
            <w:vAlign w:val="bottom"/>
            <w:tcBorders>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100" w:type="dxa"/>
            <w:vAlign w:val="bottom"/>
            <w:gridSpan w:val="3"/>
          </w:tcPr>
          <w:p>
            <w:pPr>
              <w:jc w:val="right"/>
              <w:ind w:right="786"/>
              <w:spacing w:after="0" w:line="142" w:lineRule="exact"/>
              <w:rPr>
                <w:sz w:val="20"/>
                <w:szCs w:val="20"/>
                <w:color w:val="auto"/>
              </w:rPr>
            </w:pPr>
            <w:r>
              <w:rPr>
                <w:rFonts w:ascii="Arial" w:cs="Arial" w:eastAsia="Arial" w:hAnsi="Arial"/>
                <w:sz w:val="14"/>
                <w:szCs w:val="14"/>
                <w:b w:val="1"/>
                <w:bCs w:val="1"/>
                <w:color w:val="auto"/>
              </w:rPr>
              <w:t>($ 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40" w:type="dxa"/>
            <w:vAlign w:val="bottom"/>
            <w:gridSpan w:val="2"/>
          </w:tcPr>
          <w:p>
            <w:pPr>
              <w:jc w:val="right"/>
              <w:ind w:right="104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7,160</w:t>
            </w:r>
          </w:p>
        </w:tc>
        <w:tc>
          <w:tcPr>
            <w:tcW w:w="1200" w:type="dxa"/>
            <w:vAlign w:val="bottom"/>
          </w:tcPr>
          <w:p>
            <w:pPr>
              <w:jc w:val="right"/>
              <w:ind w:right="104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1,011</w:t>
            </w:r>
          </w:p>
        </w:tc>
        <w:tc>
          <w:tcPr>
            <w:tcW w:w="1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736</w:t>
            </w:r>
          </w:p>
        </w:tc>
        <w:tc>
          <w:tcPr>
            <w:tcW w:w="1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(2,936)</w:t>
            </w:r>
          </w:p>
        </w:tc>
        <w:tc>
          <w:tcPr>
            <w:tcW w:w="1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(2,351)</w:t>
            </w:r>
          </w:p>
        </w:tc>
      </w:tr>
      <w:tr>
        <w:trPr>
          <w:trHeight w:val="210"/>
        </w:trPr>
        <w:tc>
          <w:tcPr>
            <w:tcW w:w="4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3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4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income from operations of $6.0 million for the first quarter of fiscal 2012 increased $2.7 million, or 80%, compared to the first quarter of fiscal 2011. As a percentage of revenues, our income from operations was approximately 7% and 5% in the first quarter of fiscal 2012 and fiscal 2011, respectively.</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selling, general and administrative (SG&amp;A) expenses for the first quarter of fiscal 2012 increased approximately $3.9 million over the first quarter of fiscal 2011. As a percentage of revenues, SG&amp;A expenses for the first quarter of fiscal 2012 decreased to approximately 21% from approximately 23% in the first quarter of fiscal 2011. The increase in expense was primarily due to the cost of additional salary and other infrastructure costs to support our growth in revenues, including the addition of new locations and personnel in connection with our acquisitions. Our recent acquisitions accounted for approximately $1.4 million of the total increase in SG&amp;A expenses. Excluding acquisitions, our SG&amp;A expenses included higher compensation and benefit expenses of $1.9 million over the same period in the prior year attributed to normal salary increases, as well as our investment in additional management and corporate staff to support our growth. Other increases in SG&amp;A expenses, excluding acquisitions, included insurance expense of $0.3 million and stock compensation costs of $0.3 million. Depreciation and amortization included in the determination of income from operations for the first quarter of fiscal 2012 and fiscal 2011 was $1.5 million and $1.2 million, respectively, each representing approximately 2% of revenues.</w:t>
      </w:r>
    </w:p>
    <w:p>
      <w:pPr>
        <w:spacing w:after="0" w:line="18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first quarter of fiscal 2012 was $0.7 million, which was consistent with the same period in fiscal 2011. This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related to the additional expense related to the market rate adjustments of our interest rate swap outstanding in the prior year offset by an increase in average borrowings in the current year.</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Net Loss Attributable to Noncontrolling Interests, net of taxes. </w:t>
      </w:r>
      <w:r>
        <w:rPr>
          <w:rFonts w:ascii="Arial" w:cs="Arial" w:eastAsia="Arial" w:hAnsi="Arial"/>
          <w:sz w:val="17"/>
          <w:szCs w:val="17"/>
          <w:color w:val="auto"/>
        </w:rPr>
        <w:t>The net loss attributable to noncontrolling interests for the three months ended August 31, 2011</w:t>
      </w:r>
      <w:r>
        <w:rPr>
          <w:rFonts w:ascii="Arial" w:cs="Arial" w:eastAsia="Arial" w:hAnsi="Arial"/>
          <w:sz w:val="17"/>
          <w:szCs w:val="17"/>
          <w:i w:val="1"/>
          <w:iCs w:val="1"/>
          <w:color w:val="auto"/>
        </w:rPr>
        <w:t xml:space="preserve"> </w:t>
      </w:r>
      <w:r>
        <w:rPr>
          <w:rFonts w:ascii="Arial" w:cs="Arial" w:eastAsia="Arial" w:hAnsi="Arial"/>
          <w:sz w:val="17"/>
          <w:szCs w:val="17"/>
          <w:color w:val="auto"/>
        </w:rPr>
        <w:t>is primarily related to the net loss incurred by Diapac, our subsidiary in Russia, and the net loss incurred by IPS, a subsidiary in France.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40% for the first quarter of fiscal 2012 and fiscal 2011.</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i w:val="1"/>
          <w:iCs w:val="1"/>
          <w:color w:val="auto"/>
        </w:rPr>
        <w:t xml:space="preserve">Net Income Attributable to Mistras Group, Inc. </w:t>
      </w:r>
      <w:r>
        <w:rPr>
          <w:rFonts w:ascii="Arial" w:cs="Arial" w:eastAsia="Arial" w:hAnsi="Arial"/>
          <w:sz w:val="17"/>
          <w:szCs w:val="17"/>
          <w:color w:val="auto"/>
        </w:rPr>
        <w:t>Net income attributable to Mistras Group, Inc. for the first quarter of fiscal 2012 was $3.2 million, or 4% of</w:t>
      </w:r>
      <w:r>
        <w:rPr>
          <w:rFonts w:ascii="Arial" w:cs="Arial" w:eastAsia="Arial" w:hAnsi="Arial"/>
          <w:sz w:val="17"/>
          <w:szCs w:val="17"/>
          <w:i w:val="1"/>
          <w:iCs w:val="1"/>
          <w:color w:val="auto"/>
        </w:rPr>
        <w:t xml:space="preserve"> </w:t>
      </w:r>
      <w:r>
        <w:rPr>
          <w:rFonts w:ascii="Arial" w:cs="Arial" w:eastAsia="Arial" w:hAnsi="Arial"/>
          <w:sz w:val="17"/>
          <w:szCs w:val="17"/>
          <w:color w:val="auto"/>
        </w:rPr>
        <w:t>our revenues, an increase of $1.6 million over the first quarter of fiscal 2011, which was $1.6 million, or 2% of revenues. The increase in net income was primarily the result of our revenue growth, partially offset by increases in our SG&amp;A expenses and our provision for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180" w:type="dxa"/>
            <w:vAlign w:val="bottom"/>
          </w:tcPr>
          <w:p>
            <w:pPr>
              <w:jc w:val="right"/>
              <w:ind w:right="343"/>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r>
      <w:tr>
        <w:trPr>
          <w:trHeight w:val="523"/>
        </w:trPr>
        <w:tc>
          <w:tcPr>
            <w:tcW w:w="50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85"/>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330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4"/>
                <w:szCs w:val="14"/>
                <w:b w:val="1"/>
                <w:bCs w:val="1"/>
                <w:color w:val="auto"/>
              </w:rPr>
              <w:t>For the three months ended August 31,</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80" w:type="dxa"/>
            <w:vAlign w:val="bottom"/>
            <w:tcBorders>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20" w:type="dxa"/>
            <w:vAlign w:val="bottom"/>
            <w:gridSpan w:val="4"/>
          </w:tcPr>
          <w:p>
            <w:pPr>
              <w:jc w:val="right"/>
              <w:ind w:right="845"/>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1180" w:type="dxa"/>
            <w:vAlign w:val="bottom"/>
          </w:tcPr>
          <w:p>
            <w:pPr>
              <w:jc w:val="right"/>
              <w:ind w:right="10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12,799</w:t>
            </w:r>
          </w:p>
        </w:tc>
        <w:tc>
          <w:tcPr>
            <w:tcW w:w="1220" w:type="dxa"/>
            <w:vAlign w:val="bottom"/>
            <w:gridSpan w:val="2"/>
          </w:tcPr>
          <w:p>
            <w:pPr>
              <w:jc w:val="right"/>
              <w:ind w:right="1045"/>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9,241</w:t>
            </w: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(8,793)</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(7,240)</w:t>
            </w:r>
          </w:p>
        </w:tc>
        <w:tc>
          <w:tcPr>
            <w:tcW w:w="23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1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(8,618)</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(4,061)</w:t>
            </w:r>
          </w:p>
        </w:tc>
        <w:tc>
          <w:tcPr>
            <w:tcW w:w="23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238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180" w:type="dxa"/>
            <w:vAlign w:val="bottom"/>
            <w:tcBorders>
              <w:top w:val="single" w:sz="8" w:color="auto"/>
            </w:tcBorders>
          </w:tcPr>
          <w:p>
            <w:pPr>
              <w:jc w:val="right"/>
              <w:ind w:right="10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0" w:type="dxa"/>
            <w:vAlign w:val="bottom"/>
            <w:tcBorders>
              <w:top w:val="single" w:sz="8" w:color="auto"/>
            </w:tcBorders>
          </w:tcPr>
          <w:p>
            <w:pPr>
              <w:jc w:val="right"/>
              <w:ind w:right="10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23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-1691005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-1691005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ectPr>
          <w:pgSz w:w="11900" w:h="16838" w:orient="portrait"/>
          <w:cols w:equalWidth="0" w:num="1">
            <w:col w:w="11460"/>
          </w:cols>
          <w:pgMar w:left="240" w:top="125" w:right="199" w:bottom="46" w:gutter="0" w:footer="0" w:header="0"/>
        </w:sectPr>
      </w:pPr>
    </w:p>
    <w:bookmarkStart w:id="18" w:name="page19"/>
    <w:bookmarkEnd w:id="18"/>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three months ended August 31, 2011, cash provided by our operating activities was $12.8 million, an increase of $3.6 million from the comparable period of fiscal 2011. Positive operating cash flow was primarily attributable to higher net income, excluding depreciation, amortization and other non-cash expenses of $9.4 million and $3.4 million of cash provided by a decrease in our working capital, which primarily related to collections of our trade accounts receivable.</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three months ended August 31, 2010, cash provided by our operating activities was $9.2 million, an increase of $3.8 million from the comparable period of fiscal 2010. Positive operating cash flow was primarily attributable to net income, excluding depreciation and amortization and other non-cash expenses of $6.6 million and $2.6 million of cash provided by a decrease in our working capital, which primarily related to collections of our trade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three months ended August 31, 2011, cash used in investing activities was $8.8 million, an increase of $1.6 from the comparable period of fiscal 2011. Cash used in investing activities included our acquisition of three asset protection businesses for cash payments aggregating $5.6 million. Cash purchases of property, plant and equipment were $3.1 million and were primarily related to equipment used by our technicians.</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the three months ended August 31, 2010, cash used in investing activities was $7.2 million compared to $15.4 million from the comparable period of fiscal 2010. Cash used in investing activities included our acquisition of two asset protection businesses for cash payments aggregating $5.3 million. Cash purchases of property, plant and equipment were $1.9 million and were primarily related to equipment used by our technicians.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cash used in financing activities was $8.6 million for the three months ended August 31, 2011, an increase of $4.6 million from the comparable period of fiscal 2011. Net cash used in financing activities related primarily to repayments of our capital lease obligations, long-term debt, revolving credit facility, and other short-term borrowings of $1.6 million, $2.0 million, $3.9 million, and $1.0 million, respectively.</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cash used in financing activities was $4.1 million for the three months ended August 31, 2010, and related to repayments of capital lease obligations, long-term debt, and other short-term borrowings of $1.5 million, $1.6 million and $1.0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Exchange Rate on Changes on Cash and Cash Equivalents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$0.2 million and ($0.1) million for the three months ended August 31, 2011 and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August 31, 2011, we had cash and cash equivalents totaling $6.5 million and available borrowing capacity of $54.1 million under our current revolving credit facility. As of August 31, 2011, there were no outstanding borrowings and a total of $0.9 million of outstanding letters of credit under the existing revolving credit facility. We finance our operations primarily through our existing cash balances, cash collected from operations, bank borrowings and capital lease financing. We believe these sources are sufficient to fund our operations for the foreseeable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July 2009, we entered into our current credit agreement with Bank of America, N.A., JPMorgan Chase Bank, N.A., TD Bank, N.A. and Capital One, N.A., which provided for a $25.0 million term loan and a $55.0 million secured revolving credit facility. Borrowings under the agreement were used to repay the outstanding indebtedness from our former credit facility and to fund acquisitions.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2009, we repaid the outstanding principal balance of the then term loan and the outstanding balance of the revolving credit facility using the proceeds from our IPO. Credit extended under the term loan may not be re-borrowed under the current credit agreement. Credit extended under the revolving credit facility may be re-borrowed at any time. Borrowings made under the revolving credit facility are payable in July 2012. In December 2009, we signed an amendment to our current credit agreement that, among other things, adjusted certain affirmative and negative covenants including delivery of financial statements, the minimum consolidated debt service coverage ratio, the procedures for obtaining lender approval in acquisitions and the removal of a minimum EBITDA requirement.</w:t>
      </w:r>
    </w:p>
    <w:p>
      <w:pPr>
        <w:spacing w:after="0" w:line="19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Under the amended agreement, borrowings under the credit agreement bear interest at the LIBOR or base rate, at our option, plus an applicable LIBOR margin ranging from 1.75% to 3.25%, or base rate margin ranging from -0.50% to 0.50%, and a market disruption increase of between 0.0% and 1.0%, if the lenders determine it to be applicable. As of August 31, 2011, the interest rate for the borrowings under our revolving credit facility was 2.75%.</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us to maintain a minimum debt service coverage ratio, and a funded debt leverage ratio, all as defined in the credit agreement. There is a provision in the credit facility that requires us to repay 25% of the immediately preceding fiscal year’s “free cash flow” if our ratio of “funded debt” to EBITDA, as defined in the credit agreement, is greater than a specified amount on or before October 1 each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2011, we were in compliance with the terms of the credit agreement, which we continuously monitor.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Cash</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expect our future sources of cash to include cash flow from operations, cash borrowed under our revolving credit facility and cash borrowed from leasing companies to purchase equipment and fleet service vehicles. Our revolving credit facility is available for cash advances required for working capital and for</w:t>
      </w:r>
    </w:p>
    <w:p>
      <w:pPr>
        <w:sectPr>
          <w:pgSz w:w="11900" w:h="16908" w:orient="portrait"/>
          <w:cols w:equalWidth="0" w:num="1">
            <w:col w:w="11420"/>
          </w:cols>
          <w:pgMar w:left="240" w:top="125" w:right="239" w:bottom="0" w:gutter="0" w:footer="0" w:header="0"/>
        </w:sectPr>
      </w:pPr>
    </w:p>
    <w:bookmarkStart w:id="19" w:name="page20"/>
    <w:bookmarkEnd w:id="19"/>
    <w:p>
      <w:pPr>
        <w:spacing w:after="0" w:line="273" w:lineRule="auto"/>
        <w:rPr>
          <w:sz w:val="20"/>
          <w:szCs w:val="20"/>
          <w:color w:val="auto"/>
        </w:rPr>
      </w:pPr>
      <w:r>
        <w:rPr>
          <w:rFonts w:ascii="Arial" w:cs="Arial" w:eastAsia="Arial" w:hAnsi="Arial"/>
          <w:sz w:val="17"/>
          <w:szCs w:val="17"/>
          <w:color w:val="auto"/>
        </w:rPr>
        <w:t>letters of credit to support our operations. To meet our short-and long-term liquidity requirements, we expect primarily to rely on cash generated from our operating activities and borrowings under our revolving credit facility.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obtain capital through the issuance of debt or equity securities, or a combination of both. As of October 3, 2011, there were outstanding borrowings of approximately $4.0 million and approximately $2.0 million of outstanding letters of credit under our revolving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Cash</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but generally only do so with a high degree of certainty about related customer orders and pricing. In addition, we have a certain amount of replacement equipment, including our fleet vehicles. We historically spend approximately 3% to 4% of our total revenues on capital expenditures, excluding acquisitions, and expect to fund these expenditures through a combination of cash and lease financing.</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anticipated acquisitions may also require capital. For example, during the three months ended August 31, 2011, we made three acquisitions with an initial cash outlay of approximately $5.6 million. In some cases, additional equipment will be needed to upgrade the capabilities of these acquired companies. In addition, our future acquisition and capital spending may increase as we aggressively pursue growth opportunities. Other investments in infrastructure, training and software may also be required to match our growth, but we plan to continue using a disciplined approach to building our business.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addition, we will use cash to fund our operating leases, capital leases and long-term debt repayments and various other obligations as they arise.</w:t>
      </w:r>
    </w:p>
    <w:p>
      <w:pPr>
        <w:spacing w:after="0" w:line="23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first quarter of fiscal 2012,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have foreign currency exposure related to our operations in foreign locations where the functional currency is not the U.S. dollar. This foreign currency exposure, particularly the Euro, British Pound Sterling (GBP), Brazilian Real, Russian Ruble, Japanese Yen and the Indian Rupee, arises primarily from the translation of our foreign subsidiaries’ financial statements into U.S. dollars. For example, a portion of our annual sales and operating costs are denominated in GBP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income in stockholders’ equity (deficit). We had approximately $0.3 million of foreign currency translation losses in other comprehensive income for the first three months of fiscal 2012. We do not currently enter into forward exchange contracts to hedge exposures to foreign currencies. We may consider entering into hedging or forward exchange contracts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interest rate on our revolving credit facility, currently 2.75%, is variable and adjusts periodically. As of August 31, 2011, there were no outstanding borrowings under our revolving credit facility. A hypothetical 100 basis point adverse shift in interest rates would not have had a material effect on our results of operations for the three months ended August 31, 2011.</w:t>
      </w:r>
    </w:p>
    <w:p>
      <w:pPr>
        <w:spacing w:after="0" w:line="18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From time to time, we enter into interest rate swap contracts whereby we would receive or pay an amount equal to the difference between a fixed rate and LIBOR on a quarterly basis in order to reduce our potential exposure to interest rate fluctuations. All gains and losses are recognized as an adjustment to interest expense and the combined fair values are recorded in other liabilities on the consolidated balance sheet. As of August 31, 2011, we had no such contracts in effect.</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had cash and cash equivalents of $6.5 million as of August 31, 2011. These amounts are held for working capital purposes and were invested primarily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 Declines in interest rates, however, will reduce future investment income.</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do not believe that we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August 31, 2011,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Securities Exchange Act of 1934, as amended, is recorded, processed, summarized and reported within the time periods specified in Securities and Exchange Commission rules and forms.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fiscal quarter ended August 31, 2011 that has materially affected, or is reasonably likely to materially affect, such internal control over financial reporting. Internal control over financial reporting at the Company was excluded from the evaluation for the period ended August 31,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included in this report for a description of our legal proceedings.</w:t>
      </w:r>
    </w:p>
    <w:p>
      <w:pPr>
        <w:spacing w:after="0" w:line="2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under the “Risk Factors” section included in our Annual Report on Form 10-K, filed with the SEC on August 12, 2011. There have been no material changes to the risk factors previously disclosed in the Annual Report.</w:t>
      </w:r>
    </w:p>
    <w:p>
      <w:pPr>
        <w:spacing w:after="0" w:line="17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800" w:hanging="652"/>
        <w:spacing w:after="0" w:line="501" w:lineRule="auto"/>
        <w:tabs>
          <w:tab w:leader="none" w:pos="26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sets forth the shares of our common stock we acquired during the quarter pursuant to the surrender of shares by employees to satisfy tax withholding obligations in connection with the vesting of restricted stock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4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Fiscal Month Ending</w:t>
            </w:r>
          </w:p>
        </w:tc>
        <w:tc>
          <w:tcPr>
            <w:tcW w:w="2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 Shares (or</w:t>
            </w:r>
          </w:p>
        </w:tc>
        <w:tc>
          <w:tcPr>
            <w:tcW w:w="300" w:type="dxa"/>
            <w:vAlign w:val="bottom"/>
          </w:tcPr>
          <w:p>
            <w:pPr>
              <w:spacing w:after="0"/>
              <w:rPr>
                <w:sz w:val="14"/>
                <w:szCs w:val="14"/>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Average Price Paid per</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480" w:type="dxa"/>
            <w:vAlign w:val="bottom"/>
            <w:gridSpan w:val="5"/>
            <w:vMerge w:val="continue"/>
          </w:tcPr>
          <w:p>
            <w:pPr>
              <w:spacing w:after="0"/>
              <w:rPr>
                <w:sz w:val="14"/>
                <w:szCs w:val="14"/>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Units) Purchased</w:t>
            </w:r>
          </w:p>
        </w:tc>
        <w:tc>
          <w:tcPr>
            <w:tcW w:w="300" w:type="dxa"/>
            <w:vAlign w:val="bottom"/>
          </w:tcPr>
          <w:p>
            <w:pPr>
              <w:spacing w:after="0"/>
              <w:rPr>
                <w:sz w:val="14"/>
                <w:szCs w:val="14"/>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Share (or Unit)</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August 31, 2011</w:t>
            </w:r>
          </w:p>
        </w:tc>
        <w:tc>
          <w:tcPr>
            <w:tcW w:w="2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b w:val="1"/>
                <w:bCs w:val="1"/>
                <w:color w:val="auto"/>
              </w:rPr>
              <w:t>Defaults Upon Senior Securities</w:t>
            </w: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gridSpan w:val="6"/>
          </w:tcPr>
          <w:p>
            <w:pPr>
              <w:ind w:left="660"/>
              <w:spacing w:after="0"/>
              <w:rPr>
                <w:sz w:val="20"/>
                <w:szCs w:val="20"/>
                <w:color w:val="auto"/>
              </w:rPr>
            </w:pPr>
            <w:r>
              <w:rPr>
                <w:rFonts w:ascii="Arial" w:cs="Arial" w:eastAsia="Arial" w:hAnsi="Arial"/>
                <w:sz w:val="18"/>
                <w:szCs w:val="18"/>
                <w:color w:val="auto"/>
              </w:rPr>
              <w:t>None.</w:t>
            </w: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Information</w:t>
            </w: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gridSpan w:val="6"/>
          </w:tcPr>
          <w:p>
            <w:pPr>
              <w:ind w:left="660"/>
              <w:spacing w:after="0"/>
              <w:rPr>
                <w:sz w:val="20"/>
                <w:szCs w:val="20"/>
                <w:color w:val="auto"/>
              </w:rPr>
            </w:pPr>
            <w:r>
              <w:rPr>
                <w:rFonts w:ascii="Arial" w:cs="Arial" w:eastAsia="Arial" w:hAnsi="Arial"/>
                <w:sz w:val="18"/>
                <w:szCs w:val="18"/>
                <w:color w:val="auto"/>
              </w:rPr>
              <w:t>None.</w:t>
            </w: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1680"/>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auto"/>
                <w:w w:val="96"/>
              </w:rPr>
              <w:t>Certification of Chief Executive Officer pursuant to Rule 13a-14(a) under the Securities Exchange Act of 1934.</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30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000" w:type="dxa"/>
            <w:vAlign w:val="bottom"/>
          </w:tcPr>
          <w:p>
            <w:pPr>
              <w:spacing w:after="0"/>
              <w:rPr>
                <w:sz w:val="24"/>
                <w:szCs w:val="24"/>
                <w:color w:val="auto"/>
              </w:rPr>
            </w:pPr>
          </w:p>
        </w:tc>
        <w:tc>
          <w:tcPr>
            <w:tcW w:w="10460" w:type="dxa"/>
            <w:vAlign w:val="bottom"/>
          </w:tcPr>
          <w:p>
            <w:pPr>
              <w:ind w:left="4620"/>
              <w:spacing w:after="0"/>
              <w:rPr>
                <w:sz w:val="20"/>
                <w:szCs w:val="20"/>
                <w:color w:val="auto"/>
              </w:rPr>
            </w:pPr>
            <w:r>
              <w:rPr>
                <w:rFonts w:ascii="Arial" w:cs="Arial" w:eastAsia="Arial" w:hAnsi="Arial"/>
                <w:sz w:val="18"/>
                <w:szCs w:val="18"/>
                <w:color w:val="auto"/>
              </w:rPr>
              <w:t>30</w:t>
            </w:r>
          </w:p>
        </w:tc>
      </w:tr>
      <w:tr>
        <w:trPr>
          <w:trHeight w:val="132"/>
        </w:trPr>
        <w:tc>
          <w:tcPr>
            <w:tcW w:w="1000" w:type="dxa"/>
            <w:vAlign w:val="bottom"/>
            <w:tcBorders>
              <w:bottom w:val="single" w:sz="8" w:color="010101"/>
            </w:tcBorders>
          </w:tcPr>
          <w:p>
            <w:pPr>
              <w:spacing w:after="0"/>
              <w:rPr>
                <w:sz w:val="11"/>
                <w:szCs w:val="11"/>
                <w:color w:val="auto"/>
              </w:rPr>
            </w:pPr>
          </w:p>
        </w:tc>
        <w:tc>
          <w:tcPr>
            <w:tcW w:w="104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ind w:left="5460"/>
        <w:spacing w:after="0"/>
        <w:tabs>
          <w:tab w:leader="none" w:pos="5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FRANCIS T. JOYCE</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-130810</wp:posOffset>
            </wp:positionV>
            <wp:extent cx="35159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Executive Vice President, Chief Financial Officer and Treasurer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11, 2011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77" w:lineRule="auto"/>
        <w:tabs>
          <w:tab w:leader="none" w:pos="6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80" w:hanging="644"/>
        <w:spacing w:after="0" w:line="264" w:lineRule="auto"/>
        <w:tabs>
          <w:tab w:leader="none" w:pos="13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42" w:lineRule="auto"/>
        <w:tabs>
          <w:tab w:leader="none" w:pos="67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3"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11,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77" w:lineRule="auto"/>
        <w:tabs>
          <w:tab w:leader="none" w:pos="6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80" w:hanging="644"/>
        <w:spacing w:after="0" w:line="264" w:lineRule="auto"/>
        <w:tabs>
          <w:tab w:leader="none" w:pos="130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42" w:lineRule="auto"/>
        <w:tabs>
          <w:tab w:leader="none" w:pos="67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3"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11,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Francis T. Joyce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August 31, 2011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11,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Francis T. Joyce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2"/>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decimal"/>
      <w:start w:val="12"/>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2019-12-11T06:24:04Z</dcterms:created>
  <dcterms:modified xsi:type="dcterms:W3CDTF">2019-12-11T06:24:04Z</dcterms:modified>
</cp:coreProperties>
</file>