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40" w:hanging="258"/>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340" w:hanging="258"/>
        <w:spacing w:after="0"/>
        <w:tabs>
          <w:tab w:leader="none" w:pos="3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__ to 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1993900</wp:posOffset>
            </wp:positionH>
            <wp:positionV relativeFrom="paragraph">
              <wp:posOffset>191135</wp:posOffset>
            </wp:positionV>
            <wp:extent cx="31629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62935" cy="1714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Mistras Group,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1993900</wp:posOffset>
            </wp:positionH>
            <wp:positionV relativeFrom="paragraph">
              <wp:posOffset>47625</wp:posOffset>
            </wp:positionV>
            <wp:extent cx="31629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62935" cy="17145"/>
                    </a:xfrm>
                    <a:prstGeom prst="rect">
                      <a:avLst/>
                    </a:prstGeom>
                    <a:noFill/>
                  </pic:spPr>
                </pic:pic>
              </a:graphicData>
            </a:graphic>
          </wp:anchor>
        </w:drawing>
      </w:r>
    </w:p>
    <w:p>
      <w:pPr>
        <w:spacing w:after="0" w:line="181" w:lineRule="exact"/>
        <w:rPr>
          <w:sz w:val="24"/>
          <w:szCs w:val="24"/>
          <w:color w:val="auto"/>
        </w:rPr>
      </w:pPr>
    </w:p>
    <w:tbl>
      <w:tblPr>
        <w:tblLayout w:type="fixed"/>
        <w:tblInd w:w="3440" w:type="dxa"/>
        <w:tblCellMar>
          <w:top w:w="0" w:type="dxa"/>
          <w:left w:w="0" w:type="dxa"/>
          <w:bottom w:w="0" w:type="dxa"/>
          <w:right w:w="0" w:type="dxa"/>
        </w:tblCellMar>
      </w:tblPr>
      <w:tr>
        <w:trPr>
          <w:trHeight w:val="238"/>
        </w:trPr>
        <w:tc>
          <w:tcPr>
            <w:tcW w:w="2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22-3341267</w:t>
            </w:r>
          </w:p>
        </w:tc>
      </w:tr>
      <w:tr>
        <w:trPr>
          <w:trHeight w:val="196"/>
        </w:trPr>
        <w:tc>
          <w:tcPr>
            <w:tcW w:w="2960" w:type="dxa"/>
            <w:vAlign w:val="bottom"/>
          </w:tcPr>
          <w:p>
            <w:pPr>
              <w:jc w:val="center"/>
              <w:ind w:right="50"/>
              <w:spacing w:after="0" w:line="195" w:lineRule="exact"/>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1460" w:type="dxa"/>
            <w:vAlign w:val="bottom"/>
          </w:tcPr>
          <w:p>
            <w:pPr>
              <w:jc w:val="center"/>
              <w:ind w:left="50"/>
              <w:spacing w:after="0" w:line="195"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960" w:type="dxa"/>
            <w:vAlign w:val="bottom"/>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r>
      <w:tr>
        <w:trPr>
          <w:trHeight w:val="486"/>
        </w:trPr>
        <w:tc>
          <w:tcPr>
            <w:tcW w:w="2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195 Clarksville Road</w:t>
            </w:r>
          </w:p>
        </w:tc>
        <w:tc>
          <w:tcPr>
            <w:tcW w:w="1460" w:type="dxa"/>
            <w:vAlign w:val="bottom"/>
          </w:tcPr>
          <w:p>
            <w:pPr>
              <w:spacing w:after="0"/>
              <w:rPr>
                <w:sz w:val="24"/>
                <w:szCs w:val="24"/>
                <w:color w:val="auto"/>
              </w:rPr>
            </w:pPr>
          </w:p>
        </w:tc>
      </w:tr>
      <w:tr>
        <w:trPr>
          <w:trHeight w:val="250"/>
        </w:trPr>
        <w:tc>
          <w:tcPr>
            <w:tcW w:w="29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Princeton Junction, New Jersey</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08550</w:t>
            </w:r>
          </w:p>
        </w:tc>
      </w:tr>
      <w:tr>
        <w:trPr>
          <w:trHeight w:val="236"/>
        </w:trPr>
        <w:tc>
          <w:tcPr>
            <w:tcW w:w="2960" w:type="dxa"/>
            <w:vAlign w:val="bottom"/>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rPr>
              <w:t>(Zip Code)</w:t>
            </w: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716-4000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0" w:lineRule="exact"/>
        <w:rPr>
          <w:sz w:val="24"/>
          <w:szCs w:val="24"/>
          <w:color w:val="auto"/>
        </w:rPr>
      </w:pP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256"/>
        </w:trPr>
        <w:tc>
          <w:tcPr>
            <w:tcW w:w="4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w w:val="98"/>
              </w:rPr>
              <w:t>Title of each class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Trading 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r>
      <w:tr>
        <w:trPr>
          <w:trHeight w:val="228"/>
        </w:trPr>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8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MG</w:t>
            </w:r>
          </w:p>
        </w:tc>
        <w:tc>
          <w:tcPr>
            <w:tcW w:w="80" w:type="dxa"/>
            <w:vAlign w:val="bottom"/>
          </w:tcPr>
          <w:p>
            <w:pPr>
              <w:spacing w:after="0"/>
              <w:rPr>
                <w:sz w:val="19"/>
                <w:szCs w:val="19"/>
                <w:color w:val="auto"/>
              </w:rPr>
            </w:pPr>
          </w:p>
        </w:tc>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00" w:lineRule="exact"/>
        <w:rPr>
          <w:sz w:val="24"/>
          <w:szCs w:val="24"/>
          <w:color w:val="auto"/>
        </w:rPr>
      </w:pPr>
    </w:p>
    <w:p>
      <w:pPr>
        <w:spacing w:after="0" w:line="236" w:lineRule="exact"/>
        <w:rPr>
          <w:sz w:val="24"/>
          <w:szCs w:val="24"/>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0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320" w:type="dxa"/>
        <w:tblCellMar>
          <w:top w:w="0" w:type="dxa"/>
          <w:left w:w="0" w:type="dxa"/>
          <w:bottom w:w="0" w:type="dxa"/>
          <w:right w:w="0" w:type="dxa"/>
        </w:tblCellMar>
      </w:tblPr>
      <w:tr>
        <w:trPr>
          <w:trHeight w:val="189"/>
        </w:trPr>
        <w:tc>
          <w:tcPr>
            <w:tcW w:w="19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Large accelerated filer</w:t>
            </w:r>
          </w:p>
        </w:tc>
        <w:tc>
          <w:tcPr>
            <w:tcW w:w="2520" w:type="dxa"/>
            <w:vAlign w:val="bottom"/>
          </w:tcPr>
          <w:p>
            <w:pPr>
              <w:ind w:left="340"/>
              <w:spacing w:after="0" w:line="189" w:lineRule="exact"/>
              <w:rPr>
                <w:sz w:val="20"/>
                <w:szCs w:val="20"/>
                <w:color w:val="auto"/>
              </w:rPr>
            </w:pPr>
            <w:r>
              <w:rPr>
                <w:rFonts w:ascii="Wingdings" w:cs="Wingdings" w:eastAsia="Wingdings" w:hAnsi="Wingdings"/>
                <w:sz w:val="18"/>
                <w:szCs w:val="18"/>
                <w:b w:val="1"/>
                <w:bCs w:val="1"/>
                <w:color w:val="auto"/>
              </w:rPr>
              <w:t>o</w:t>
            </w:r>
          </w:p>
        </w:tc>
        <w:tc>
          <w:tcPr>
            <w:tcW w:w="4480" w:type="dxa"/>
            <w:vAlign w:val="bottom"/>
          </w:tcPr>
          <w:p>
            <w:pPr>
              <w:ind w:left="2020"/>
              <w:spacing w:after="0" w:line="189" w:lineRule="exact"/>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00"/>
              <w:spacing w:after="0" w:line="189" w:lineRule="exact"/>
              <w:rPr>
                <w:sz w:val="20"/>
                <w:szCs w:val="20"/>
                <w:color w:val="auto"/>
              </w:rPr>
            </w:pPr>
            <w:r>
              <w:rPr>
                <w:rFonts w:ascii="Wingdings" w:cs="Wingdings" w:eastAsia="Wingdings" w:hAnsi="Wingdings"/>
                <w:sz w:val="18"/>
                <w:szCs w:val="18"/>
                <w:b w:val="1"/>
                <w:bCs w:val="1"/>
                <w:color w:val="auto"/>
                <w:w w:val="83"/>
              </w:rPr>
              <w:t>x</w:t>
            </w:r>
          </w:p>
        </w:tc>
      </w:tr>
      <w:tr>
        <w:trPr>
          <w:trHeight w:val="23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520" w:type="dxa"/>
            <w:vAlign w:val="bottom"/>
          </w:tcPr>
          <w:p>
            <w:pPr>
              <w:ind w:left="340"/>
              <w:spacing w:after="0"/>
              <w:rPr>
                <w:sz w:val="20"/>
                <w:szCs w:val="20"/>
                <w:color w:val="auto"/>
              </w:rPr>
            </w:pPr>
            <w:r>
              <w:rPr>
                <w:rFonts w:ascii="Wingdings" w:cs="Wingdings" w:eastAsia="Wingdings" w:hAnsi="Wingdings"/>
                <w:sz w:val="18"/>
                <w:szCs w:val="18"/>
                <w:b w:val="1"/>
                <w:bCs w:val="1"/>
                <w:color w:val="auto"/>
              </w:rPr>
              <w:t>o</w:t>
            </w:r>
          </w:p>
        </w:tc>
        <w:tc>
          <w:tcPr>
            <w:tcW w:w="44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19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4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64"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ectPr>
          <w:pgSz w:w="11900" w:h="16838" w:orient="portrait"/>
          <w:cols w:equalWidth="0" w:num="1">
            <w:col w:w="11240"/>
          </w:cols>
          <w:pgMar w:left="320" w:top="225" w:right="339" w:bottom="231" w:gutter="0" w:footer="0" w:header="0"/>
        </w:sectPr>
      </w:pP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6, 2025, the registrant had 31,538,050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231"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410845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98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FF"/>
                <w:w w:val="98"/>
              </w:rPr>
              <w:t>PART I—FINANCIAL INFORMATION</w:t>
            </w:r>
          </w:p>
        </w:tc>
        <w:tc>
          <w:tcPr>
            <w:tcW w:w="7520" w:type="dxa"/>
            <w:vAlign w:val="bottom"/>
            <w:gridSpan w:val="13"/>
            <w:vMerge w:val="restart"/>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980" w:type="dxa"/>
            <w:vAlign w:val="bottom"/>
            <w:tcBorders>
              <w:bottom w:val="single" w:sz="8" w:color="0000FF"/>
            </w:tcBorders>
            <w:gridSpan w:val="12"/>
            <w:vMerge w:val="continue"/>
          </w:tcPr>
          <w:p>
            <w:pPr>
              <w:spacing w:after="0"/>
              <w:rPr>
                <w:sz w:val="14"/>
                <w:szCs w:val="14"/>
                <w:color w:val="auto"/>
              </w:rPr>
            </w:pPr>
          </w:p>
        </w:tc>
        <w:tc>
          <w:tcPr>
            <w:tcW w:w="7520" w:type="dxa"/>
            <w:vAlign w:val="bottom"/>
            <w:gridSpan w:val="13"/>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E32E1"/>
              </w:rPr>
              <w:t>Unaudited Condensed Consolidated Balance Sheets as of June 30, 2025 and December 31, 2024</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60" w:type="dxa"/>
            <w:vAlign w:val="bottom"/>
            <w:tcBorders>
              <w:lef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19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168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E32E1"/>
              </w:rPr>
              <w:t>Unaudited Condensed Consolidated Statements of Income (Loss) for the three and six months ended June 30, 2025 and</w:t>
            </w:r>
          </w:p>
        </w:tc>
        <w:tc>
          <w:tcPr>
            <w:tcW w:w="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0" w:type="dxa"/>
            <w:vAlign w:val="bottom"/>
            <w:tcBorders>
              <w:top w:val="single" w:sz="8" w:color="0E32E1"/>
            </w:tcBorders>
            <w:gridSpan w:val="17"/>
          </w:tcPr>
          <w:p>
            <w:pPr>
              <w:spacing w:after="0" w:line="142" w:lineRule="exact"/>
              <w:rPr>
                <w:sz w:val="20"/>
                <w:szCs w:val="20"/>
                <w:color w:val="auto"/>
              </w:rPr>
            </w:pPr>
            <w:r>
              <w:rPr>
                <w:rFonts w:ascii="Times New Roman" w:cs="Times New Roman" w:eastAsia="Times New Roman" w:hAnsi="Times New Roman"/>
                <w:sz w:val="16"/>
                <w:szCs w:val="16"/>
                <w:color w:val="0E32E1"/>
              </w:rPr>
              <w:t>June 30, 2024</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E32E1"/>
              </w:rPr>
              <w:t>Unaudited Condensed Consolidated Statements of Comprehensive Income (Loss) for the three and six months ended June</w:t>
            </w:r>
          </w:p>
        </w:tc>
        <w:tc>
          <w:tcPr>
            <w:tcW w:w="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780" w:type="dxa"/>
            <w:vAlign w:val="bottom"/>
            <w:tcBorders>
              <w:top w:val="single" w:sz="8" w:color="0E32E1"/>
            </w:tcBorders>
            <w:gridSpan w:val="19"/>
          </w:tcPr>
          <w:p>
            <w:pPr>
              <w:spacing w:after="0" w:line="142" w:lineRule="exact"/>
              <w:rPr>
                <w:sz w:val="20"/>
                <w:szCs w:val="20"/>
                <w:color w:val="auto"/>
              </w:rPr>
            </w:pPr>
            <w:r>
              <w:rPr>
                <w:rFonts w:ascii="Times New Roman" w:cs="Times New Roman" w:eastAsia="Times New Roman" w:hAnsi="Times New Roman"/>
                <w:sz w:val="16"/>
                <w:szCs w:val="16"/>
                <w:color w:val="0E32E1"/>
              </w:rPr>
              <w:t>30, 2025 and June 30, 2024</w:t>
            </w:r>
          </w:p>
        </w:tc>
        <w:tc>
          <w:tcPr>
            <w:tcW w:w="12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60" w:type="dxa"/>
            <w:vAlign w:val="bottom"/>
            <w:tcBorders>
              <w:lef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E32E1"/>
              </w:rPr>
              <w:t>Unaudited Condensed Consolidated Statements of Equity for the three and six months ended June 30, 2025 and June 30,</w:t>
            </w:r>
          </w:p>
        </w:tc>
        <w:tc>
          <w:tcPr>
            <w:tcW w:w="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Borders>
              <w:top w:val="single" w:sz="8" w:color="0E32E1"/>
            </w:tcBorders>
          </w:tcPr>
          <w:p>
            <w:pPr>
              <w:spacing w:after="0" w:line="142" w:lineRule="exact"/>
              <w:rPr>
                <w:sz w:val="20"/>
                <w:szCs w:val="20"/>
                <w:color w:val="auto"/>
              </w:rPr>
            </w:pPr>
            <w:r>
              <w:rPr>
                <w:rFonts w:ascii="Times New Roman" w:cs="Times New Roman" w:eastAsia="Times New Roman" w:hAnsi="Times New Roman"/>
                <w:sz w:val="16"/>
                <w:szCs w:val="16"/>
                <w:color w:val="0E32E1"/>
              </w:rPr>
              <w:t>2024</w:t>
            </w:r>
          </w:p>
        </w:tc>
        <w:tc>
          <w:tcPr>
            <w:tcW w:w="240" w:type="dxa"/>
            <w:vAlign w:val="bottom"/>
            <w:tcBorders>
              <w:top w:val="single" w:sz="8" w:color="0E32E1"/>
            </w:tcBorders>
          </w:tcPr>
          <w:p>
            <w:pPr>
              <w:spacing w:after="0"/>
              <w:rPr>
                <w:sz w:val="13"/>
                <w:szCs w:val="13"/>
                <w:color w:val="auto"/>
              </w:rPr>
            </w:pPr>
          </w:p>
        </w:tc>
        <w:tc>
          <w:tcPr>
            <w:tcW w:w="300" w:type="dxa"/>
            <w:vAlign w:val="bottom"/>
            <w:tcBorders>
              <w:top w:val="single" w:sz="8" w:color="0E32E1"/>
            </w:tcBorders>
          </w:tcPr>
          <w:p>
            <w:pPr>
              <w:spacing w:after="0"/>
              <w:rPr>
                <w:sz w:val="13"/>
                <w:szCs w:val="13"/>
                <w:color w:val="auto"/>
              </w:rPr>
            </w:pPr>
          </w:p>
        </w:tc>
        <w:tc>
          <w:tcPr>
            <w:tcW w:w="100" w:type="dxa"/>
            <w:vAlign w:val="bottom"/>
            <w:tcBorders>
              <w:top w:val="single" w:sz="8" w:color="0E32E1"/>
            </w:tcBorders>
          </w:tcPr>
          <w:p>
            <w:pPr>
              <w:spacing w:after="0"/>
              <w:rPr>
                <w:sz w:val="13"/>
                <w:szCs w:val="13"/>
                <w:color w:val="auto"/>
              </w:rPr>
            </w:pPr>
          </w:p>
        </w:tc>
        <w:tc>
          <w:tcPr>
            <w:tcW w:w="60" w:type="dxa"/>
            <w:vAlign w:val="bottom"/>
            <w:tcBorders>
              <w:top w:val="single" w:sz="8" w:color="0E32E1"/>
            </w:tcBorders>
          </w:tcPr>
          <w:p>
            <w:pPr>
              <w:spacing w:after="0"/>
              <w:rPr>
                <w:sz w:val="13"/>
                <w:szCs w:val="13"/>
                <w:color w:val="auto"/>
              </w:rPr>
            </w:pPr>
          </w:p>
        </w:tc>
        <w:tc>
          <w:tcPr>
            <w:tcW w:w="260" w:type="dxa"/>
            <w:vAlign w:val="bottom"/>
            <w:tcBorders>
              <w:top w:val="single" w:sz="8" w:color="0E32E1"/>
            </w:tcBorders>
          </w:tcPr>
          <w:p>
            <w:pPr>
              <w:spacing w:after="0"/>
              <w:rPr>
                <w:sz w:val="13"/>
                <w:szCs w:val="13"/>
                <w:color w:val="auto"/>
              </w:rPr>
            </w:pPr>
          </w:p>
        </w:tc>
        <w:tc>
          <w:tcPr>
            <w:tcW w:w="60" w:type="dxa"/>
            <w:vAlign w:val="bottom"/>
            <w:tcBorders>
              <w:top w:val="single" w:sz="8" w:color="0E32E1"/>
            </w:tcBorders>
          </w:tcPr>
          <w:p>
            <w:pPr>
              <w:spacing w:after="0"/>
              <w:rPr>
                <w:sz w:val="13"/>
                <w:szCs w:val="13"/>
                <w:color w:val="auto"/>
              </w:rPr>
            </w:pPr>
          </w:p>
        </w:tc>
        <w:tc>
          <w:tcPr>
            <w:tcW w:w="120" w:type="dxa"/>
            <w:vAlign w:val="bottom"/>
            <w:tcBorders>
              <w:top w:val="single" w:sz="8" w:color="0E32E1"/>
            </w:tcBorders>
          </w:tcPr>
          <w:p>
            <w:pPr>
              <w:spacing w:after="0"/>
              <w:rPr>
                <w:sz w:val="13"/>
                <w:szCs w:val="13"/>
                <w:color w:val="auto"/>
              </w:rPr>
            </w:pPr>
          </w:p>
        </w:tc>
        <w:tc>
          <w:tcPr>
            <w:tcW w:w="260" w:type="dxa"/>
            <w:vAlign w:val="bottom"/>
            <w:tcBorders>
              <w:top w:val="single" w:sz="8" w:color="0E32E1"/>
            </w:tcBorders>
          </w:tcPr>
          <w:p>
            <w:pPr>
              <w:spacing w:after="0"/>
              <w:rPr>
                <w:sz w:val="13"/>
                <w:szCs w:val="13"/>
                <w:color w:val="auto"/>
              </w:rPr>
            </w:pPr>
          </w:p>
        </w:tc>
        <w:tc>
          <w:tcPr>
            <w:tcW w:w="220" w:type="dxa"/>
            <w:vAlign w:val="bottom"/>
            <w:tcBorders>
              <w:top w:val="single" w:sz="8" w:color="0E32E1"/>
            </w:tcBorders>
          </w:tcPr>
          <w:p>
            <w:pPr>
              <w:spacing w:after="0"/>
              <w:rPr>
                <w:sz w:val="13"/>
                <w:szCs w:val="13"/>
                <w:color w:val="auto"/>
              </w:rPr>
            </w:pPr>
          </w:p>
        </w:tc>
        <w:tc>
          <w:tcPr>
            <w:tcW w:w="340" w:type="dxa"/>
            <w:vAlign w:val="bottom"/>
            <w:tcBorders>
              <w:top w:val="single" w:sz="8" w:color="0E32E1"/>
            </w:tcBorders>
          </w:tcPr>
          <w:p>
            <w:pPr>
              <w:spacing w:after="0"/>
              <w:rPr>
                <w:sz w:val="13"/>
                <w:szCs w:val="13"/>
                <w:color w:val="auto"/>
              </w:rPr>
            </w:pPr>
          </w:p>
        </w:tc>
        <w:tc>
          <w:tcPr>
            <w:tcW w:w="1980" w:type="dxa"/>
            <w:vAlign w:val="bottom"/>
            <w:tcBorders>
              <w:top w:val="single" w:sz="8" w:color="0E32E1"/>
            </w:tcBorders>
          </w:tcPr>
          <w:p>
            <w:pPr>
              <w:spacing w:after="0"/>
              <w:rPr>
                <w:sz w:val="13"/>
                <w:szCs w:val="13"/>
                <w:color w:val="auto"/>
              </w:rPr>
            </w:pPr>
          </w:p>
        </w:tc>
        <w:tc>
          <w:tcPr>
            <w:tcW w:w="40" w:type="dxa"/>
            <w:vAlign w:val="bottom"/>
            <w:tcBorders>
              <w:top w:val="single" w:sz="8" w:color="0E32E1"/>
            </w:tcBorders>
          </w:tcPr>
          <w:p>
            <w:pPr>
              <w:spacing w:after="0"/>
              <w:rPr>
                <w:sz w:val="13"/>
                <w:szCs w:val="13"/>
                <w:color w:val="auto"/>
              </w:rPr>
            </w:pPr>
          </w:p>
        </w:tc>
        <w:tc>
          <w:tcPr>
            <w:tcW w:w="440" w:type="dxa"/>
            <w:vAlign w:val="bottom"/>
            <w:tcBorders>
              <w:top w:val="single" w:sz="8" w:color="0E32E1"/>
            </w:tcBorders>
          </w:tcPr>
          <w:p>
            <w:pPr>
              <w:spacing w:after="0"/>
              <w:rPr>
                <w:sz w:val="13"/>
                <w:szCs w:val="13"/>
                <w:color w:val="auto"/>
              </w:rPr>
            </w:pPr>
          </w:p>
        </w:tc>
        <w:tc>
          <w:tcPr>
            <w:tcW w:w="1680" w:type="dxa"/>
            <w:vAlign w:val="bottom"/>
            <w:tcBorders>
              <w:top w:val="single" w:sz="8" w:color="0E32E1"/>
            </w:tcBorders>
          </w:tcPr>
          <w:p>
            <w:pPr>
              <w:spacing w:after="0"/>
              <w:rPr>
                <w:sz w:val="13"/>
                <w:szCs w:val="13"/>
                <w:color w:val="auto"/>
              </w:rPr>
            </w:pPr>
          </w:p>
        </w:tc>
        <w:tc>
          <w:tcPr>
            <w:tcW w:w="460" w:type="dxa"/>
            <w:vAlign w:val="bottom"/>
            <w:tcBorders>
              <w:top w:val="single" w:sz="8" w:color="0E32E1"/>
            </w:tcBorders>
          </w:tcPr>
          <w:p>
            <w:pPr>
              <w:spacing w:after="0"/>
              <w:rPr>
                <w:sz w:val="13"/>
                <w:szCs w:val="13"/>
                <w:color w:val="auto"/>
              </w:rPr>
            </w:pPr>
          </w:p>
        </w:tc>
        <w:tc>
          <w:tcPr>
            <w:tcW w:w="1680" w:type="dxa"/>
            <w:vAlign w:val="bottom"/>
            <w:tcBorders>
              <w:top w:val="single" w:sz="8" w:color="0E32E1"/>
            </w:tcBorders>
          </w:tcPr>
          <w:p>
            <w:pPr>
              <w:spacing w:after="0"/>
              <w:rPr>
                <w:sz w:val="13"/>
                <w:szCs w:val="13"/>
                <w:color w:val="auto"/>
              </w:rPr>
            </w:pPr>
          </w:p>
        </w:tc>
        <w:tc>
          <w:tcPr>
            <w:tcW w:w="140" w:type="dxa"/>
            <w:vAlign w:val="bottom"/>
            <w:tcBorders>
              <w:top w:val="single" w:sz="8" w:color="0E32E1"/>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gridSpan w:val="2"/>
            <w:shd w:val="clear" w:color="auto" w:fill="0E32E1"/>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560" w:type="dxa"/>
            <w:vAlign w:val="bottom"/>
            <w:gridSpan w:val="2"/>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80" w:type="dxa"/>
            <w:vAlign w:val="bottom"/>
            <w:gridSpan w:val="3"/>
          </w:tcPr>
          <w:p>
            <w:pPr>
              <w:spacing w:after="0"/>
              <w:rPr>
                <w:sz w:val="2"/>
                <w:szCs w:val="2"/>
                <w:color w:val="auto"/>
              </w:rPr>
            </w:pPr>
          </w:p>
        </w:tc>
        <w:tc>
          <w:tcPr>
            <w:tcW w:w="16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6"/>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74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w w:val="99"/>
              </w:rPr>
              <w:t>Unaudited Condensed Consolidated Statements of Cash Flows for the six months ended June 30, 2025 and June 30, 2024</w:t>
            </w:r>
          </w:p>
        </w:tc>
        <w:tc>
          <w:tcPr>
            <w:tcW w:w="160" w:type="dxa"/>
            <w:vAlign w:val="bottom"/>
            <w:gridSpan w:val="2"/>
          </w:tcPr>
          <w:p>
            <w:pPr>
              <w:spacing w:after="0"/>
              <w:rPr>
                <w:sz w:val="24"/>
                <w:szCs w:val="24"/>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60" w:type="dxa"/>
            <w:vAlign w:val="bottom"/>
            <w:tcBorders>
              <w:lef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19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168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1680" w:type="dxa"/>
            <w:vAlign w:val="bottom"/>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7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60" w:type="dxa"/>
            <w:vAlign w:val="bottom"/>
            <w:gridSpan w:val="2"/>
          </w:tcPr>
          <w:p>
            <w:pPr>
              <w:spacing w:after="0"/>
              <w:rPr>
                <w:sz w:val="24"/>
                <w:szCs w:val="24"/>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7"/>
              </w:rPr>
              <w:t>ITEM 2.</w:t>
            </w:r>
          </w:p>
        </w:tc>
        <w:tc>
          <w:tcPr>
            <w:tcW w:w="540" w:type="dxa"/>
            <w:vAlign w:val="bottom"/>
            <w:gridSpan w:val="2"/>
          </w:tcPr>
          <w:p>
            <w:pPr>
              <w:spacing w:after="0"/>
              <w:rPr>
                <w:sz w:val="24"/>
                <w:szCs w:val="24"/>
                <w:color w:val="auto"/>
              </w:rPr>
            </w:pPr>
          </w:p>
        </w:tc>
        <w:tc>
          <w:tcPr>
            <w:tcW w:w="64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440" w:type="dxa"/>
            <w:vAlign w:val="bottom"/>
            <w:gridSpan w:val="5"/>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25</w:t>
            </w:r>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3.</w:t>
            </w:r>
          </w:p>
        </w:tc>
        <w:tc>
          <w:tcPr>
            <w:tcW w:w="540" w:type="dxa"/>
            <w:vAlign w:val="bottom"/>
            <w:gridSpan w:val="2"/>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4</w:t>
            </w:r>
          </w:p>
        </w:tc>
        <w:tc>
          <w:tcPr>
            <w:tcW w:w="540" w:type="dxa"/>
            <w:vAlign w:val="bottom"/>
            <w:gridSpan w:val="2"/>
          </w:tcPr>
          <w:p>
            <w:pPr>
              <w:spacing w:after="0"/>
              <w:rPr>
                <w:sz w:val="24"/>
                <w:szCs w:val="24"/>
                <w:color w:val="auto"/>
              </w:rPr>
            </w:pPr>
          </w:p>
        </w:tc>
        <w:tc>
          <w:tcPr>
            <w:tcW w:w="4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600" w:type="dxa"/>
            <w:vAlign w:val="bottom"/>
            <w:gridSpan w:val="8"/>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5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PART II—OTHER INFORMATION</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1.</w:t>
            </w:r>
          </w:p>
        </w:tc>
        <w:tc>
          <w:tcPr>
            <w:tcW w:w="540" w:type="dxa"/>
            <w:vAlign w:val="bottom"/>
            <w:gridSpan w:val="2"/>
          </w:tcPr>
          <w:p>
            <w:pPr>
              <w:spacing w:after="0"/>
              <w:rPr>
                <w:sz w:val="24"/>
                <w:szCs w:val="24"/>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7580" w:type="dxa"/>
            <w:vAlign w:val="bottom"/>
            <w:gridSpan w:val="14"/>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1.A.</w:t>
            </w:r>
          </w:p>
        </w:tc>
        <w:tc>
          <w:tcPr>
            <w:tcW w:w="320" w:type="dxa"/>
            <w:vAlign w:val="bottom"/>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2.</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3.</w:t>
            </w:r>
          </w:p>
        </w:tc>
        <w:tc>
          <w:tcPr>
            <w:tcW w:w="540" w:type="dxa"/>
            <w:vAlign w:val="bottom"/>
            <w:gridSpan w:val="2"/>
          </w:tcPr>
          <w:p>
            <w:pPr>
              <w:spacing w:after="0"/>
              <w:rPr>
                <w:sz w:val="24"/>
                <w:szCs w:val="24"/>
                <w:color w:val="auto"/>
              </w:rPr>
            </w:pP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560" w:type="dxa"/>
            <w:vAlign w:val="bottom"/>
            <w:gridSpan w:val="7"/>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65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4.</w:t>
            </w:r>
          </w:p>
        </w:tc>
        <w:tc>
          <w:tcPr>
            <w:tcW w:w="540" w:type="dxa"/>
            <w:vAlign w:val="bottom"/>
            <w:gridSpan w:val="2"/>
          </w:tcPr>
          <w:p>
            <w:pPr>
              <w:spacing w:after="0"/>
              <w:rPr>
                <w:sz w:val="24"/>
                <w:szCs w:val="24"/>
                <w:color w:val="auto"/>
              </w:rPr>
            </w:pPr>
          </w:p>
        </w:tc>
        <w:tc>
          <w:tcPr>
            <w:tcW w:w="23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580" w:type="dxa"/>
            <w:vAlign w:val="bottom"/>
            <w:gridSpan w:val="9"/>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714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5.</w:t>
            </w:r>
          </w:p>
        </w:tc>
        <w:tc>
          <w:tcPr>
            <w:tcW w:w="540" w:type="dxa"/>
            <w:vAlign w:val="bottom"/>
            <w:gridSpan w:val="2"/>
          </w:tcPr>
          <w:p>
            <w:pPr>
              <w:spacing w:after="0"/>
              <w:rPr>
                <w:sz w:val="24"/>
                <w:szCs w:val="24"/>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gridSpan w:val="3"/>
          </w:tcPr>
          <w:p>
            <w:pPr>
              <w:spacing w:after="0"/>
              <w:rPr>
                <w:sz w:val="24"/>
                <w:szCs w:val="24"/>
                <w:color w:val="auto"/>
              </w:rPr>
            </w:pPr>
          </w:p>
        </w:tc>
        <w:tc>
          <w:tcPr>
            <w:tcW w:w="7140" w:type="dxa"/>
            <w:vAlign w:val="bottom"/>
            <w:gridSpan w:val="11"/>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758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6.</w:t>
            </w:r>
          </w:p>
        </w:tc>
        <w:tc>
          <w:tcPr>
            <w:tcW w:w="540" w:type="dxa"/>
            <w:vAlign w:val="bottom"/>
            <w:gridSpan w:val="2"/>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gridSpan w:val="4"/>
          </w:tcPr>
          <w:p>
            <w:pPr>
              <w:spacing w:after="0"/>
              <w:rPr>
                <w:sz w:val="24"/>
                <w:szCs w:val="24"/>
                <w:color w:val="auto"/>
              </w:rPr>
            </w:pPr>
          </w:p>
        </w:tc>
        <w:tc>
          <w:tcPr>
            <w:tcW w:w="7580" w:type="dxa"/>
            <w:vAlign w:val="bottom"/>
            <w:gridSpan w:val="14"/>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39</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and per share data</w:t>
      </w:r>
      <w:r>
        <w:rPr>
          <w:rFonts w:ascii="Times New Roman" w:cs="Times New Roman" w:eastAsia="Times New Roman" w:hAnsi="Times New Roman"/>
          <w:sz w:val="18"/>
          <w:szCs w:val="18"/>
          <w:color w:val="auto"/>
        </w:rPr>
        <w:t>)</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6"/>
                <w:szCs w:val="16"/>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18,317</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127,281</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12,387</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172,470</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80,892</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39,708</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181,442</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42,259</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571,043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523,038</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11,128</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85,233</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11,591</w:t>
            </w: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114,925</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158,056</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Obligations under finance leases, net of current portion</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15,162</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31,919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34,027</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324,143</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10,000,000 shares authorized</w:t>
            </w:r>
          </w:p>
        </w:tc>
        <w:tc>
          <w:tcPr>
            <w:tcW w:w="2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79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Common stock, $0.01 par value, 200,000,000 shares authorized, 31,538,050 and 31,010,375 shares issued</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outstanding</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250,832</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(9,984)</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(42,682)</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Mistras Group, Inc. stockholders’ equity</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198,568</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216,175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198,895</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571,043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523,038</w:t>
            </w:r>
          </w:p>
        </w:tc>
        <w:tc>
          <w:tcPr>
            <w:tcW w:w="0" w:type="dxa"/>
            <w:vAlign w:val="bottom"/>
          </w:tcPr>
          <w:p>
            <w:pPr>
              <w:spacing w:after="0"/>
              <w:rPr>
                <w:sz w:val="1"/>
                <w:szCs w:val="1"/>
                <w:color w:val="auto"/>
              </w:rPr>
            </w:pPr>
          </w:p>
        </w:tc>
      </w:tr>
      <w:tr>
        <w:trPr>
          <w:trHeight w:val="21"/>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per share data</w:t>
      </w:r>
      <w:r>
        <w:rPr>
          <w:rFonts w:ascii="Times New Roman" w:cs="Times New Roman" w:eastAsia="Times New Roman" w:hAnsi="Times New Roman"/>
          <w:sz w:val="18"/>
          <w:szCs w:val="18"/>
          <w:color w:val="auto"/>
        </w:rPr>
        <w: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286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67"/>
        </w:trPr>
        <w:tc>
          <w:tcPr>
            <w:tcW w:w="4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374,215</w:t>
            </w:r>
          </w:p>
        </w:tc>
      </w:tr>
      <w:tr>
        <w:trPr>
          <w:trHeight w:val="23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264,892</w:t>
            </w:r>
          </w:p>
        </w:tc>
      </w:tr>
      <w:tr>
        <w:trPr>
          <w:trHeight w:val="22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11,831</w:t>
            </w: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97,492</w:t>
            </w:r>
          </w:p>
        </w:tc>
      </w:tr>
      <w:tr>
        <w:trPr>
          <w:trHeight w:val="22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72,431</w:t>
            </w:r>
          </w:p>
        </w:tc>
      </w:tr>
      <w:tr>
        <w:trPr>
          <w:trHeight w:val="23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r>
      <w:tr>
        <w:trPr>
          <w:trHeight w:val="22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Environmental expense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settlement and insurance recoveries, net</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engineering</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29"/>
        </w:trPr>
        <w:tc>
          <w:tcPr>
            <w:tcW w:w="4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4,839</w:t>
            </w:r>
          </w:p>
        </w:tc>
      </w:tr>
      <w:tr>
        <w:trPr>
          <w:trHeight w:val="223"/>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w:t>
            </w:r>
          </w:p>
        </w:tc>
      </w:tr>
      <w:tr>
        <w:trPr>
          <w:trHeight w:val="229"/>
        </w:trPr>
        <w:tc>
          <w:tcPr>
            <w:tcW w:w="4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8,842</w:t>
            </w: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provision (benefit) for income taxes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w:t>
            </w:r>
          </w:p>
        </w:tc>
      </w:tr>
      <w:tr>
        <w:trPr>
          <w:trHeight w:val="229"/>
        </w:trPr>
        <w:tc>
          <w:tcPr>
            <w:tcW w:w="4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w:t>
            </w:r>
          </w:p>
        </w:tc>
      </w:tr>
      <w:tr>
        <w:trPr>
          <w:trHeight w:val="175"/>
        </w:trPr>
        <w:tc>
          <w:tcPr>
            <w:tcW w:w="46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net income attributable to noncontrolling interests, net</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4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of taxes</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Mistras Group, Inc.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30"/>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30,842</w:t>
            </w:r>
          </w:p>
        </w:tc>
      </w:tr>
      <w:tr>
        <w:trPr>
          <w:trHeight w:val="234"/>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31,358</w:t>
            </w:r>
          </w:p>
        </w:tc>
      </w:tr>
    </w:tbl>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2660" w:type="dxa"/>
            <w:vAlign w:val="bottom"/>
            <w:gridSpan w:val="4"/>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6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46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4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60" w:type="dxa"/>
            <w:vAlign w:val="bottom"/>
            <w:tcBorders>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11,739</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176"/>
        </w:trPr>
        <w:tc>
          <w:tcPr>
            <w:tcW w:w="46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Foreign currency translation adjustments attributable to</w:t>
            </w: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Mistras Group, Inc.</w:t>
            </w:r>
          </w:p>
        </w:tc>
        <w:tc>
          <w:tcPr>
            <w:tcW w:w="960" w:type="dxa"/>
            <w:vAlign w:val="bottom"/>
            <w:tcBorders>
              <w:top w:val="single" w:sz="8" w:color="auto"/>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9"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7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Three months ended</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1580" w:type="dxa"/>
            <w:vAlign w:val="bottom"/>
            <w:gridSpan w:val="6"/>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580" w:type="dxa"/>
            <w:vAlign w:val="bottom"/>
            <w:gridSpan w:val="6"/>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Mistras Group,</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vMerge w:val="restart"/>
          </w:tcPr>
          <w:p>
            <w:pPr>
              <w:jc w:val="right"/>
              <w:ind w:right="140"/>
              <w:spacing w:after="0" w:line="131"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restart"/>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restart"/>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vMerge w:val="restart"/>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rPr>
              <w:t>Inc.</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vMerge w:val="restart"/>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780" w:type="dxa"/>
            <w:vAlign w:val="bottom"/>
          </w:tcPr>
          <w:p>
            <w:pPr>
              <w:spacing w:after="0"/>
              <w:rPr>
                <w:sz w:val="7"/>
                <w:szCs w:val="7"/>
                <w:color w:val="auto"/>
              </w:rPr>
            </w:pPr>
          </w:p>
        </w:tc>
        <w:tc>
          <w:tcPr>
            <w:tcW w:w="8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9"/>
              </w:rPr>
              <w:t>Total Equity</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paid-in capital</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comprehensive loss</w:t>
            </w:r>
          </w:p>
        </w:tc>
        <w:tc>
          <w:tcPr>
            <w:tcW w:w="20" w:type="dxa"/>
            <w:vAlign w:val="bottom"/>
          </w:tcPr>
          <w:p>
            <w:pPr>
              <w:spacing w:after="0"/>
              <w:rPr>
                <w:sz w:val="15"/>
                <w:szCs w:val="15"/>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78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31,326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40" w:type="dxa"/>
            <w:vAlign w:val="bottom"/>
            <w:shd w:val="clear" w:color="auto" w:fill="CCEEFF"/>
          </w:tcPr>
          <w:p>
            <w:pPr>
              <w:spacing w:after="0"/>
              <w:rPr>
                <w:sz w:val="15"/>
                <w:szCs w:val="15"/>
                <w:color w:val="auto"/>
              </w:rPr>
            </w:pPr>
          </w:p>
        </w:tc>
        <w:tc>
          <w:tcPr>
            <w:tcW w:w="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251,629</w:t>
            </w:r>
          </w:p>
        </w:tc>
        <w:tc>
          <w:tcPr>
            <w:tcW w:w="40" w:type="dxa"/>
            <w:vAlign w:val="bottom"/>
            <w:shd w:val="clear" w:color="auto" w:fill="CCEEFF"/>
          </w:tcPr>
          <w:p>
            <w:pPr>
              <w:spacing w:after="0"/>
              <w:rPr>
                <w:sz w:val="15"/>
                <w:szCs w:val="15"/>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(13,170)</w:t>
            </w:r>
          </w:p>
        </w:tc>
        <w:tc>
          <w:tcPr>
            <w:tcW w:w="2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(40,200)</w:t>
            </w:r>
          </w:p>
        </w:tc>
        <w:tc>
          <w:tcPr>
            <w:tcW w:w="10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198,665</w:t>
            </w: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40" w:type="dxa"/>
            <w:vAlign w:val="bottom"/>
            <w:shd w:val="clear" w:color="auto" w:fill="CCEEFF"/>
          </w:tcPr>
          <w:p>
            <w:pPr>
              <w:spacing w:after="0"/>
              <w:rPr>
                <w:sz w:val="15"/>
                <w:szCs w:val="15"/>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199,001</w:t>
            </w:r>
          </w:p>
        </w:tc>
        <w:tc>
          <w:tcPr>
            <w:tcW w:w="0" w:type="dxa"/>
            <w:vAlign w:val="bottom"/>
          </w:tcPr>
          <w:p>
            <w:pPr>
              <w:spacing w:after="0"/>
              <w:rPr>
                <w:sz w:val="1"/>
                <w:szCs w:val="1"/>
                <w:color w:val="auto"/>
              </w:rPr>
            </w:pPr>
          </w:p>
        </w:tc>
      </w:tr>
      <w:tr>
        <w:trPr>
          <w:trHeight w:val="170"/>
        </w:trPr>
        <w:tc>
          <w:tcPr>
            <w:tcW w:w="278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3,017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3,126</w:t>
            </w:r>
          </w:p>
        </w:tc>
        <w:tc>
          <w:tcPr>
            <w:tcW w:w="0" w:type="dxa"/>
            <w:vAlign w:val="bottom"/>
          </w:tcPr>
          <w:p>
            <w:pPr>
              <w:spacing w:after="0"/>
              <w:rPr>
                <w:sz w:val="1"/>
                <w:szCs w:val="1"/>
                <w:color w:val="auto"/>
              </w:rPr>
            </w:pPr>
          </w:p>
        </w:tc>
      </w:tr>
      <w:tr>
        <w:trPr>
          <w:trHeight w:val="18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11,857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11,857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(118)</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11,739</w:t>
            </w:r>
          </w:p>
        </w:tc>
        <w:tc>
          <w:tcPr>
            <w:tcW w:w="0" w:type="dxa"/>
            <w:vAlign w:val="bottom"/>
          </w:tcPr>
          <w:p>
            <w:pPr>
              <w:spacing w:after="0"/>
              <w:rPr>
                <w:sz w:val="1"/>
                <w:szCs w:val="1"/>
                <w:color w:val="auto"/>
              </w:rPr>
            </w:pPr>
          </w:p>
        </w:tc>
      </w:tr>
      <w:tr>
        <w:trPr>
          <w:trHeight w:val="170"/>
        </w:trPr>
        <w:tc>
          <w:tcPr>
            <w:tcW w:w="2780" w:type="dxa"/>
            <w:vAlign w:val="bottom"/>
          </w:tcPr>
          <w:p>
            <w:pPr>
              <w:spacing w:after="0"/>
              <w:rPr>
                <w:sz w:val="20"/>
                <w:szCs w:val="20"/>
                <w:color w:val="auto"/>
              </w:rPr>
            </w:pPr>
            <w:r>
              <w:rPr>
                <w:rFonts w:ascii="Times New Roman" w:cs="Times New Roman" w:eastAsia="Times New Roman" w:hAnsi="Times New Roman"/>
                <w:sz w:val="13"/>
                <w:szCs w:val="13"/>
                <w:color w:val="auto"/>
              </w:rPr>
              <w:t>Share-based payments</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2,323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2,323</w:t>
            </w:r>
          </w:p>
        </w:tc>
        <w:tc>
          <w:tcPr>
            <w:tcW w:w="0" w:type="dxa"/>
            <w:vAlign w:val="bottom"/>
          </w:tcPr>
          <w:p>
            <w:pPr>
              <w:spacing w:after="0"/>
              <w:rPr>
                <w:sz w:val="1"/>
                <w:szCs w:val="1"/>
                <w:color w:val="auto"/>
              </w:rPr>
            </w:pPr>
          </w:p>
        </w:tc>
      </w:tr>
      <w:tr>
        <w:trPr>
          <w:trHeight w:val="18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9"/>
        </w:trPr>
        <w:tc>
          <w:tcPr>
            <w:tcW w:w="2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June 30, 2025</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31,538</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465</w:t>
            </w:r>
          </w:p>
        </w:tc>
        <w:tc>
          <w:tcPr>
            <w:tcW w:w="4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253,879</w:t>
            </w:r>
          </w:p>
        </w:tc>
        <w:tc>
          <w:tcPr>
            <w:tcW w:w="4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(10,153)</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(28,343)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215,848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4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216,175</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40" w:type="dxa"/>
            <w:vAlign w:val="bottom"/>
          </w:tcPr>
          <w:p>
            <w:pPr>
              <w:spacing w:after="0"/>
              <w:rPr>
                <w:sz w:val="14"/>
                <w:szCs w:val="14"/>
                <w:color w:val="auto"/>
              </w:rPr>
            </w:pPr>
          </w:p>
        </w:tc>
        <w:tc>
          <w:tcPr>
            <w:tcW w:w="180" w:type="dxa"/>
            <w:vAlign w:val="bottom"/>
            <w:gridSpan w:val="3"/>
          </w:tcPr>
          <w:p>
            <w:pPr>
              <w:ind w:left="120"/>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247,329</w:t>
            </w:r>
          </w:p>
        </w:tc>
        <w:tc>
          <w:tcPr>
            <w:tcW w:w="40" w:type="dxa"/>
            <w:vAlign w:val="bottom"/>
          </w:tcPr>
          <w:p>
            <w:pPr>
              <w:spacing w:after="0"/>
              <w:rPr>
                <w:sz w:val="14"/>
                <w:szCs w:val="14"/>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(27,947)</w:t>
            </w:r>
          </w:p>
        </w:tc>
        <w:tc>
          <w:tcPr>
            <w:tcW w:w="20" w:type="dxa"/>
            <w:vAlign w:val="bottom"/>
          </w:tcPr>
          <w:p>
            <w:pPr>
              <w:spacing w:after="0"/>
              <w:rPr>
                <w:sz w:val="14"/>
                <w:szCs w:val="14"/>
                <w:color w:val="auto"/>
              </w:rPr>
            </w:pPr>
          </w:p>
        </w:tc>
        <w:tc>
          <w:tcPr>
            <w:tcW w:w="220" w:type="dxa"/>
            <w:vAlign w:val="bottom"/>
            <w:gridSpan w:val="3"/>
          </w:tcPr>
          <w:p>
            <w:pPr>
              <w:jc w:val="right"/>
              <w:ind w:right="1"/>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(32,565)</w:t>
            </w:r>
          </w:p>
        </w:tc>
        <w:tc>
          <w:tcPr>
            <w:tcW w:w="10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187,145</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40" w:type="dxa"/>
            <w:vAlign w:val="bottom"/>
          </w:tcPr>
          <w:p>
            <w:pPr>
              <w:spacing w:after="0"/>
              <w:rPr>
                <w:sz w:val="14"/>
                <w:szCs w:val="14"/>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187,465</w:t>
            </w:r>
          </w:p>
        </w:tc>
        <w:tc>
          <w:tcPr>
            <w:tcW w:w="0" w:type="dxa"/>
            <w:vAlign w:val="bottom"/>
          </w:tcPr>
          <w:p>
            <w:pPr>
              <w:spacing w:after="0"/>
              <w:rPr>
                <w:sz w:val="1"/>
                <w:szCs w:val="1"/>
                <w:color w:val="auto"/>
              </w:rPr>
            </w:pPr>
          </w:p>
        </w:tc>
      </w:tr>
      <w:tr>
        <w:trPr>
          <w:trHeight w:val="18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6,369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6,373</w:t>
            </w:r>
          </w:p>
        </w:tc>
        <w:tc>
          <w:tcPr>
            <w:tcW w:w="0" w:type="dxa"/>
            <w:vAlign w:val="bottom"/>
          </w:tcPr>
          <w:p>
            <w:pPr>
              <w:spacing w:after="0"/>
              <w:rPr>
                <w:sz w:val="1"/>
                <w:szCs w:val="1"/>
                <w:color w:val="auto"/>
              </w:rPr>
            </w:pPr>
          </w:p>
        </w:tc>
      </w:tr>
      <w:tr>
        <w:trPr>
          <w:trHeight w:val="170"/>
        </w:trPr>
        <w:tc>
          <w:tcPr>
            <w:tcW w:w="278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(1,616)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(1,616)</w:t>
            </w:r>
          </w:p>
        </w:tc>
        <w:tc>
          <w:tcPr>
            <w:tcW w:w="0" w:type="dxa"/>
            <w:vAlign w:val="bottom"/>
          </w:tcPr>
          <w:p>
            <w:pPr>
              <w:spacing w:after="0"/>
              <w:rPr>
                <w:sz w:val="1"/>
                <w:szCs w:val="1"/>
                <w:color w:val="auto"/>
              </w:rPr>
            </w:pPr>
          </w:p>
        </w:tc>
      </w:tr>
      <w:tr>
        <w:trPr>
          <w:trHeight w:val="18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Share-based payments</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1,536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1,536</w:t>
            </w:r>
          </w:p>
        </w:tc>
        <w:tc>
          <w:tcPr>
            <w:tcW w:w="0" w:type="dxa"/>
            <w:vAlign w:val="bottom"/>
          </w:tcPr>
          <w:p>
            <w:pPr>
              <w:spacing w:after="0"/>
              <w:rPr>
                <w:sz w:val="1"/>
                <w:szCs w:val="1"/>
                <w:color w:val="auto"/>
              </w:rPr>
            </w:pPr>
          </w:p>
        </w:tc>
      </w:tr>
      <w:tr>
        <w:trPr>
          <w:trHeight w:val="170"/>
        </w:trPr>
        <w:tc>
          <w:tcPr>
            <w:tcW w:w="2780" w:type="dxa"/>
            <w:vAlign w:val="bottom"/>
          </w:tcPr>
          <w:p>
            <w:pPr>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(341)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(284)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0" w:type="dxa"/>
            <w:vAlign w:val="bottom"/>
          </w:tcPr>
          <w:p>
            <w:pPr>
              <w:spacing w:after="0"/>
              <w:rPr>
                <w:sz w:val="1"/>
                <w:szCs w:val="1"/>
                <w:color w:val="auto"/>
              </w:rPr>
            </w:pPr>
          </w:p>
        </w:tc>
      </w:tr>
      <w:tr>
        <w:trPr>
          <w:trHeight w:val="200"/>
        </w:trPr>
        <w:tc>
          <w:tcPr>
            <w:tcW w:w="2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30,977</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248,524</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(21,578)</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(34,181)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193,150</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193,474</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27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Six months ended</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580" w:type="dxa"/>
            <w:vAlign w:val="bottom"/>
            <w:gridSpan w:val="6"/>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580" w:type="dxa"/>
            <w:vAlign w:val="bottom"/>
            <w:gridSpan w:val="6"/>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Mistras Group,</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vMerge w:val="restart"/>
          </w:tcPr>
          <w:p>
            <w:pPr>
              <w:jc w:val="right"/>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restart"/>
          </w:tcPr>
          <w:p>
            <w:pPr>
              <w:jc w:val="center"/>
              <w:ind w:right="1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3"/>
              </w:rPr>
              <w:t>Inc.</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2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780" w:type="dxa"/>
            <w:vAlign w:val="bottom"/>
          </w:tcPr>
          <w:p>
            <w:pPr>
              <w:spacing w:after="0"/>
              <w:rPr>
                <w:sz w:val="15"/>
                <w:szCs w:val="15"/>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5"/>
                <w:szCs w:val="15"/>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comprehensive loss</w:t>
            </w:r>
          </w:p>
        </w:tc>
        <w:tc>
          <w:tcPr>
            <w:tcW w:w="20" w:type="dxa"/>
            <w:vAlign w:val="bottom"/>
          </w:tcPr>
          <w:p>
            <w:pPr>
              <w:spacing w:after="0"/>
              <w:rPr>
                <w:sz w:val="15"/>
                <w:szCs w:val="15"/>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stockholders’ equity</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3"/>
              </w:rPr>
              <w:t>interests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6"/>
              </w:rPr>
              <w:t>Total Equity</w:t>
            </w:r>
          </w:p>
        </w:tc>
        <w:tc>
          <w:tcPr>
            <w:tcW w:w="0" w:type="dxa"/>
            <w:vAlign w:val="bottom"/>
          </w:tcPr>
          <w:p>
            <w:pPr>
              <w:spacing w:after="0"/>
              <w:rPr>
                <w:sz w:val="1"/>
                <w:szCs w:val="1"/>
                <w:color w:val="auto"/>
              </w:rPr>
            </w:pPr>
          </w:p>
        </w:tc>
      </w:tr>
      <w:tr>
        <w:trPr>
          <w:trHeight w:val="257"/>
        </w:trPr>
        <w:tc>
          <w:tcPr>
            <w:tcW w:w="278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31,010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40" w:type="dxa"/>
            <w:vAlign w:val="bottom"/>
            <w:shd w:val="clear" w:color="auto" w:fill="CCEEFF"/>
          </w:tcPr>
          <w:p>
            <w:pPr>
              <w:spacing w:after="0"/>
              <w:rPr>
                <w:sz w:val="15"/>
                <w:szCs w:val="15"/>
                <w:color w:val="auto"/>
              </w:rPr>
            </w:pPr>
          </w:p>
        </w:tc>
        <w:tc>
          <w:tcPr>
            <w:tcW w:w="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250,832</w:t>
            </w:r>
          </w:p>
        </w:tc>
        <w:tc>
          <w:tcPr>
            <w:tcW w:w="40" w:type="dxa"/>
            <w:vAlign w:val="bottom"/>
            <w:shd w:val="clear" w:color="auto" w:fill="CCEEFF"/>
          </w:tcPr>
          <w:p>
            <w:pPr>
              <w:spacing w:after="0"/>
              <w:rPr>
                <w:sz w:val="15"/>
                <w:szCs w:val="15"/>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(9,984)</w:t>
            </w:r>
          </w:p>
        </w:tc>
        <w:tc>
          <w:tcPr>
            <w:tcW w:w="2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(42,682)</w:t>
            </w:r>
          </w:p>
        </w:tc>
        <w:tc>
          <w:tcPr>
            <w:tcW w:w="10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198,568</w:t>
            </w:r>
          </w:p>
        </w:tc>
        <w:tc>
          <w:tcPr>
            <w:tcW w:w="80" w:type="dxa"/>
            <w:vAlign w:val="bottom"/>
            <w:shd w:val="clear" w:color="auto" w:fill="CCEEFF"/>
          </w:tcPr>
          <w:p>
            <w:pPr>
              <w:spacing w:after="0"/>
              <w:rPr>
                <w:sz w:val="15"/>
                <w:szCs w:val="15"/>
                <w:color w:val="auto"/>
              </w:rPr>
            </w:pP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327</w:t>
            </w:r>
          </w:p>
        </w:tc>
        <w:tc>
          <w:tcPr>
            <w:tcW w:w="40" w:type="dxa"/>
            <w:vAlign w:val="bottom"/>
            <w:shd w:val="clear" w:color="auto" w:fill="CCEEFF"/>
          </w:tcPr>
          <w:p>
            <w:pPr>
              <w:spacing w:after="0"/>
              <w:rPr>
                <w:sz w:val="15"/>
                <w:szCs w:val="15"/>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198,895</w:t>
            </w:r>
          </w:p>
        </w:tc>
        <w:tc>
          <w:tcPr>
            <w:tcW w:w="0" w:type="dxa"/>
            <w:vAlign w:val="bottom"/>
          </w:tcPr>
          <w:p>
            <w:pPr>
              <w:spacing w:after="0"/>
              <w:rPr>
                <w:sz w:val="1"/>
                <w:szCs w:val="1"/>
                <w:color w:val="auto"/>
              </w:rPr>
            </w:pPr>
          </w:p>
        </w:tc>
      </w:tr>
      <w:tr>
        <w:trPr>
          <w:trHeight w:val="170"/>
        </w:trPr>
        <w:tc>
          <w:tcPr>
            <w:tcW w:w="278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8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14,339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14,339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14,212</w:t>
            </w:r>
          </w:p>
        </w:tc>
        <w:tc>
          <w:tcPr>
            <w:tcW w:w="0" w:type="dxa"/>
            <w:vAlign w:val="bottom"/>
          </w:tcPr>
          <w:p>
            <w:pPr>
              <w:spacing w:after="0"/>
              <w:rPr>
                <w:sz w:val="1"/>
                <w:szCs w:val="1"/>
                <w:color w:val="auto"/>
              </w:rPr>
            </w:pPr>
          </w:p>
        </w:tc>
      </w:tr>
      <w:tr>
        <w:trPr>
          <w:trHeight w:val="170"/>
        </w:trPr>
        <w:tc>
          <w:tcPr>
            <w:tcW w:w="2780" w:type="dxa"/>
            <w:vAlign w:val="bottom"/>
          </w:tcPr>
          <w:p>
            <w:pPr>
              <w:spacing w:after="0"/>
              <w:rPr>
                <w:sz w:val="20"/>
                <w:szCs w:val="20"/>
                <w:color w:val="auto"/>
              </w:rPr>
            </w:pPr>
            <w:r>
              <w:rPr>
                <w:rFonts w:ascii="Times New Roman" w:cs="Times New Roman" w:eastAsia="Times New Roman" w:hAnsi="Times New Roman"/>
                <w:sz w:val="13"/>
                <w:szCs w:val="13"/>
                <w:color w:val="auto"/>
              </w:rPr>
              <w:t>Share-based payments</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4,602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4,602</w:t>
            </w:r>
          </w:p>
        </w:tc>
        <w:tc>
          <w:tcPr>
            <w:tcW w:w="0" w:type="dxa"/>
            <w:vAlign w:val="bottom"/>
          </w:tcPr>
          <w:p>
            <w:pPr>
              <w:spacing w:after="0"/>
              <w:rPr>
                <w:sz w:val="1"/>
                <w:szCs w:val="1"/>
                <w:color w:val="auto"/>
              </w:rPr>
            </w:pPr>
          </w:p>
        </w:tc>
      </w:tr>
      <w:tr>
        <w:trPr>
          <w:trHeight w:val="18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528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(1,492)</w:t>
            </w:r>
          </w:p>
        </w:tc>
        <w:tc>
          <w:tcPr>
            <w:tcW w:w="0" w:type="dxa"/>
            <w:vAlign w:val="bottom"/>
          </w:tcPr>
          <w:p>
            <w:pPr>
              <w:spacing w:after="0"/>
              <w:rPr>
                <w:sz w:val="1"/>
                <w:szCs w:val="1"/>
                <w:color w:val="auto"/>
              </w:rPr>
            </w:pPr>
          </w:p>
        </w:tc>
      </w:tr>
      <w:tr>
        <w:trPr>
          <w:trHeight w:val="169"/>
        </w:trPr>
        <w:tc>
          <w:tcPr>
            <w:tcW w:w="2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June 30, 2025</w:t>
            </w: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31,538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253,879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(10,153)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(28,343)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215,848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327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216,175</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30,598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40" w:type="dxa"/>
            <w:vAlign w:val="bottom"/>
          </w:tcPr>
          <w:p>
            <w:pPr>
              <w:spacing w:after="0"/>
              <w:rPr>
                <w:sz w:val="14"/>
                <w:szCs w:val="14"/>
                <w:color w:val="auto"/>
              </w:rPr>
            </w:pPr>
          </w:p>
        </w:tc>
        <w:tc>
          <w:tcPr>
            <w:tcW w:w="18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247,165</w:t>
            </w:r>
          </w:p>
        </w:tc>
        <w:tc>
          <w:tcPr>
            <w:tcW w:w="40" w:type="dxa"/>
            <w:vAlign w:val="bottom"/>
          </w:tcPr>
          <w:p>
            <w:pPr>
              <w:spacing w:after="0"/>
              <w:rPr>
                <w:sz w:val="14"/>
                <w:szCs w:val="14"/>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(28,942)</w:t>
            </w:r>
          </w:p>
        </w:tc>
        <w:tc>
          <w:tcPr>
            <w:tcW w:w="20" w:type="dxa"/>
            <w:vAlign w:val="bottom"/>
          </w:tcPr>
          <w:p>
            <w:pPr>
              <w:spacing w:after="0"/>
              <w:rPr>
                <w:sz w:val="14"/>
                <w:szCs w:val="14"/>
                <w:color w:val="auto"/>
              </w:rPr>
            </w:pPr>
          </w:p>
        </w:tc>
        <w:tc>
          <w:tcPr>
            <w:tcW w:w="220" w:type="dxa"/>
            <w:vAlign w:val="bottom"/>
            <w:gridSpan w:val="3"/>
          </w:tcPr>
          <w:p>
            <w:pPr>
              <w:jc w:val="right"/>
              <w:ind w:right="1"/>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(28,336)</w:t>
            </w:r>
          </w:p>
        </w:tc>
        <w:tc>
          <w:tcPr>
            <w:tcW w:w="10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190,192</w:t>
            </w:r>
          </w:p>
        </w:tc>
        <w:tc>
          <w:tcPr>
            <w:tcW w:w="80" w:type="dxa"/>
            <w:vAlign w:val="bottom"/>
          </w:tcPr>
          <w:p>
            <w:pPr>
              <w:spacing w:after="0"/>
              <w:rPr>
                <w:sz w:val="14"/>
                <w:szCs w:val="14"/>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311</w:t>
            </w:r>
          </w:p>
        </w:tc>
        <w:tc>
          <w:tcPr>
            <w:tcW w:w="40" w:type="dxa"/>
            <w:vAlign w:val="bottom"/>
          </w:tcPr>
          <w:p>
            <w:pPr>
              <w:spacing w:after="0"/>
              <w:rPr>
                <w:sz w:val="14"/>
                <w:szCs w:val="14"/>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190,503</w:t>
            </w:r>
          </w:p>
        </w:tc>
        <w:tc>
          <w:tcPr>
            <w:tcW w:w="0" w:type="dxa"/>
            <w:vAlign w:val="bottom"/>
          </w:tcPr>
          <w:p>
            <w:pPr>
              <w:spacing w:after="0"/>
              <w:rPr>
                <w:sz w:val="1"/>
                <w:szCs w:val="1"/>
                <w:color w:val="auto"/>
              </w:rPr>
            </w:pPr>
          </w:p>
        </w:tc>
      </w:tr>
      <w:tr>
        <w:trPr>
          <w:trHeight w:val="18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7,364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7,364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7,377</w:t>
            </w:r>
          </w:p>
        </w:tc>
        <w:tc>
          <w:tcPr>
            <w:tcW w:w="0" w:type="dxa"/>
            <w:vAlign w:val="bottom"/>
          </w:tcPr>
          <w:p>
            <w:pPr>
              <w:spacing w:after="0"/>
              <w:rPr>
                <w:sz w:val="1"/>
                <w:szCs w:val="1"/>
                <w:color w:val="auto"/>
              </w:rPr>
            </w:pPr>
          </w:p>
        </w:tc>
      </w:tr>
      <w:tr>
        <w:trPr>
          <w:trHeight w:val="170"/>
        </w:trPr>
        <w:tc>
          <w:tcPr>
            <w:tcW w:w="278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(5,845)</w:t>
            </w:r>
          </w:p>
        </w:tc>
        <w:tc>
          <w:tcPr>
            <w:tcW w:w="0" w:type="dxa"/>
            <w:vAlign w:val="bottom"/>
          </w:tcPr>
          <w:p>
            <w:pPr>
              <w:spacing w:after="0"/>
              <w:rPr>
                <w:sz w:val="1"/>
                <w:szCs w:val="1"/>
                <w:color w:val="auto"/>
              </w:rPr>
            </w:pPr>
          </w:p>
        </w:tc>
      </w:tr>
      <w:tr>
        <w:trPr>
          <w:trHeight w:val="18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Share-based payments</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2,764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2,764</w:t>
            </w:r>
          </w:p>
        </w:tc>
        <w:tc>
          <w:tcPr>
            <w:tcW w:w="0" w:type="dxa"/>
            <w:vAlign w:val="bottom"/>
          </w:tcPr>
          <w:p>
            <w:pPr>
              <w:spacing w:after="0"/>
              <w:rPr>
                <w:sz w:val="1"/>
                <w:szCs w:val="1"/>
                <w:color w:val="auto"/>
              </w:rPr>
            </w:pPr>
          </w:p>
        </w:tc>
      </w:tr>
      <w:tr>
        <w:trPr>
          <w:trHeight w:val="170"/>
        </w:trPr>
        <w:tc>
          <w:tcPr>
            <w:tcW w:w="2780" w:type="dxa"/>
            <w:vAlign w:val="bottom"/>
          </w:tcPr>
          <w:p>
            <w:pPr>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379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w:t>
            </w:r>
          </w:p>
        </w:tc>
        <w:tc>
          <w:tcPr>
            <w:tcW w:w="0" w:type="dxa"/>
            <w:vAlign w:val="bottom"/>
          </w:tcPr>
          <w:p>
            <w:pPr>
              <w:spacing w:after="0"/>
              <w:rPr>
                <w:sz w:val="1"/>
                <w:szCs w:val="1"/>
                <w:color w:val="auto"/>
              </w:rPr>
            </w:pPr>
          </w:p>
        </w:tc>
      </w:tr>
      <w:tr>
        <w:trPr>
          <w:trHeight w:val="200"/>
        </w:trPr>
        <w:tc>
          <w:tcPr>
            <w:tcW w:w="2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7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30,977</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248,524</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(21,578)</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(34,181)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193,150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324</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193,474</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2700" w:type="dxa"/>
            <w:vAlign w:val="bottom"/>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16"/>
                <w:szCs w:val="16"/>
                <w:color w:val="auto"/>
              </w:rPr>
            </w:pPr>
          </w:p>
        </w:tc>
      </w:tr>
      <w:tr>
        <w:trPr>
          <w:trHeight w:val="23"/>
        </w:trPr>
        <w:tc>
          <w:tcPr>
            <w:tcW w:w="78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9"/>
        </w:trPr>
        <w:tc>
          <w:tcPr>
            <w:tcW w:w="78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r>
      <w:tr>
        <w:trPr>
          <w:trHeight w:val="220"/>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
        </w:trPr>
        <w:tc>
          <w:tcPr>
            <w:tcW w:w="7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0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7,377</w:t>
            </w:r>
          </w:p>
        </w:tc>
      </w:tr>
      <w:tr>
        <w:trPr>
          <w:trHeight w:val="195"/>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16,670</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2,764</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Bad debt provision for troubled customers, net of recoveries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loss (gain)</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 net of effect of acquisitions and dispositions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(28,384)</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(19,103)</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(6,306)</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(6,064)</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(2,920)</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2,325</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8,537</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189"/>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provided by operating activities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(3,619)</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5,115</w:t>
            </w: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property, plant and equipment</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(10,002)</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(9,599)</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intangible assets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w:t>
            </w:r>
          </w:p>
        </w:tc>
      </w:tr>
      <w:tr>
        <w:trPr>
          <w:trHeight w:val="196"/>
        </w:trPr>
        <w:tc>
          <w:tcPr>
            <w:tcW w:w="7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Proceeds from sale of equipment</w:t>
            </w: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w:t>
            </w:r>
          </w:p>
        </w:tc>
      </w:tr>
      <w:tr>
        <w:trPr>
          <w:trHeight w:val="20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(11,416)</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(11,217)</w:t>
            </w:r>
          </w:p>
        </w:tc>
      </w:tr>
      <w:tr>
        <w:trPr>
          <w:trHeight w:val="196"/>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finance lease obligations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(2,832)</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(5,171)</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(3,831)</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revolver</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47,000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33,500</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revolver</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(22,400)</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(20,250)</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Taxes paid related to net share settlement of share-based awards</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w:t>
            </w:r>
          </w:p>
        </w:tc>
      </w:tr>
      <w:tr>
        <w:trPr>
          <w:trHeight w:val="189"/>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14,910</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5,261</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r>
      <w:tr>
        <w:trPr>
          <w:trHeight w:val="189"/>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cash and cash equivalents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18,317</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17,646</w:t>
            </w:r>
          </w:p>
        </w:tc>
      </w:tr>
      <w:tr>
        <w:trPr>
          <w:trHeight w:val="190"/>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00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19,957</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17,177</w:t>
            </w:r>
          </w:p>
        </w:tc>
      </w:tr>
      <w:tr>
        <w:trPr>
          <w:trHeight w:val="18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paid</w:t>
            </w: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net</w:t>
            </w: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6,908</w:t>
            </w:r>
          </w:p>
        </w:tc>
        <w:tc>
          <w:tcPr>
            <w:tcW w:w="120" w:type="dxa"/>
            <w:vAlign w:val="bottom"/>
          </w:tcPr>
          <w:p>
            <w:pPr>
              <w:spacing w:after="0"/>
              <w:rPr>
                <w:sz w:val="16"/>
                <w:szCs w:val="16"/>
                <w:color w:val="auto"/>
              </w:rPr>
            </w:pP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8,349</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 net of refunds</w:t>
            </w: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w:t>
            </w:r>
          </w:p>
        </w:tc>
      </w:tr>
      <w:tr>
        <w:trPr>
          <w:trHeight w:val="196"/>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Equipment acquired through finance lease obligations</w:t>
            </w: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2,099</w:t>
            </w:r>
          </w:p>
        </w:tc>
      </w:tr>
    </w:tbl>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Description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Mistras Group, Inc., together with its subsidiaries (the "Company"), is a leading "one source" multinational provider of integrated technology-enabled asset protection solutions helping to maximize the safety and operational uptime for civilization’s most critical industrial and civil assets.</w:t>
      </w:r>
    </w:p>
    <w:p>
      <w:pPr>
        <w:spacing w:after="0" w:line="189"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Backed by an innovative, data-driven asset protection portfolio, proprietary technologies and decades-long legacy of industry leadership, the Company helps customers with asset-intensive infrastructure in the oil and gas, aerospace and defense, industrials, power generation and transmission (including alternative and renewable energy), other process industries and infrastructure, research and engineering and other industries towards achieving and maintaining operational excellence. By supporting these organizations that help fuel our vehicles and power our society; inspecting components that are trusted for commercial, defense, and space craft; building real-time monitoring equipment to enable safe travel across bridges; and helping to propel sustainability, the Company helps the world at large.</w:t>
      </w:r>
    </w:p>
    <w:p>
      <w:pPr>
        <w:spacing w:after="0" w:line="21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enhances value for its clients by integrating asset protection throughout supply chains and centralizing integrity data through a suite of Industrial Internet of Things ("IoT")-connected digital software and monitoring solutions, including OneSuite™, which serves as an ecosystem platform, pulling together all of the Company’s software and data services capabilities, for the benefit of its customers.</w:t>
      </w:r>
    </w:p>
    <w:p>
      <w:pPr>
        <w:spacing w:after="0" w:line="20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core capabilities also include non-destructive testing ("NDT") field inspections enhanced by advanced robotics, laboratory quality control, laboratory materials services, shop laboratory assurance testing, sensing technologies and NDT equipment, asset and mechanical integrity engineering services, and light mechanical maintenance and access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three operating segments. Our segments are as follows:</w:t>
      </w:r>
    </w:p>
    <w:p>
      <w:pPr>
        <w:spacing w:after="0" w:line="250" w:lineRule="exact"/>
        <w:rPr>
          <w:sz w:val="20"/>
          <w:szCs w:val="20"/>
          <w:color w:val="auto"/>
        </w:rPr>
      </w:pPr>
    </w:p>
    <w:p>
      <w:pPr>
        <w:ind w:left="900" w:right="40" w:hanging="244"/>
        <w:spacing w:after="0" w:line="261" w:lineRule="auto"/>
        <w:tabs>
          <w:tab w:leader="none" w:pos="89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This segment provides asset protection solutions predominantly in North America, with the largest concentration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179" w:lineRule="exact"/>
        <w:rPr>
          <w:rFonts w:ascii="Times New Roman" w:cs="Times New Roman" w:eastAsia="Times New Roman" w:hAnsi="Times New Roman"/>
          <w:sz w:val="18"/>
          <w:szCs w:val="18"/>
          <w:i w:val="1"/>
          <w:iCs w:val="1"/>
          <w:color w:val="auto"/>
        </w:rPr>
      </w:pPr>
    </w:p>
    <w:p>
      <w:pPr>
        <w:ind w:left="900" w:right="160" w:hanging="244"/>
        <w:spacing w:after="0" w:line="267"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This segment offers services, products and systems similar to those of the other segments to select markets within Europe,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Middle East, Africa, Asia and South America, but not to customers in China and South Korea, which are served by the Products and Systems segment.</w:t>
      </w:r>
    </w:p>
    <w:p>
      <w:pPr>
        <w:spacing w:after="0" w:line="173" w:lineRule="exact"/>
        <w:rPr>
          <w:rFonts w:ascii="Times New Roman" w:cs="Times New Roman" w:eastAsia="Times New Roman" w:hAnsi="Times New Roman"/>
          <w:sz w:val="18"/>
          <w:szCs w:val="18"/>
          <w:color w:val="auto"/>
        </w:rPr>
      </w:pPr>
    </w:p>
    <w:p>
      <w:pPr>
        <w:ind w:left="900" w:right="180" w:hanging="244"/>
        <w:spacing w:after="0" w:line="284"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This segment designs, manufactures, sells, installs and services the Company’s asset protection products and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equipment and instrumentation, predominantly in the United States.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continue to experience increased costs associated with tariffs or trade barriers, including recent U.S. tariffs imposed or threatened to be imposed on China, Canada, Mexico and other countries and any retaliatory actions taken by such countries. We will continue to monitor market conditions and respond accordingly.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contained in this report have been prepared in conformity with U.S. generally accepted accounting principles ("GAAP") and Securities and Exchange Commission ("SEC") guidance allowing for reduced disclosure for interim periods. In the opinion of management, the Unaudited Condensed Consolidated Financial Statements include all adjustments, which are of a normal recurring nature, necessary for a fair presentation of the results for the interim periods of the years ending December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the Audited Consolidated Financial Statements contained in the Company's Annual Report on Form 10-K for the year ended December 31, 2024 (the "2024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Mistras Group, Inc. as well as its wholly-owned subsidiaries, majority-owned subsidiaries and consolidated variable interest entities (VIE). For consolidated subsidiaries in which the Company’s ownership interest is less than 100%, the non-controlling interests are reported in stockholders’ equity in the accompanying Condensed Consolidated Balance Sheets. The non-controlling interests in net results, net of tax, is classified separately in the accompanying Unaudited Condensed Consolidated Statements of Income (Loss). All significant intercompany accounts and transactions have been eliminated in consolidation.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Accounting Principle</w:t>
      </w:r>
    </w:p>
    <w:p>
      <w:pPr>
        <w:spacing w:after="0" w:line="25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Certain amounts in prior periods have been reclassified to conform to the current year presentation. The impacts of the reclassifications are shown in the tables below. Any reclassifications not shown below did not have a material effect on the Company's financial condition or results of operations as previously reported.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Classification of Certain Expenses from Selling, General and Administrative Expenses to Cost of Revenue</w:t>
      </w:r>
    </w:p>
    <w:p>
      <w:pPr>
        <w:spacing w:after="0" w:line="2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Beginning on January 1, 2025, the Company changed the presentation of certain costs on its Unaudited Condensed Consolidated Statements of Income (Loss), which include costs incurred at the Company's operational labs as well as the costs for certain personnel that indirectly support the Company’s delivery of services. This voluntary change in classification of certain overhead and personnel costs, which were determined to be directly related to the Company’s delivery of services, resulted in a decrease in Selling, general and administrative expenses and an offsetting increase in Cost of revenue. The Company believes this presentation is preferable as it will provide greater transparency regarding its Cost of revenue and better align with how the business is managed.</w:t>
      </w:r>
    </w:p>
    <w:p>
      <w:pPr>
        <w:spacing w:after="0" w:line="21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This change in classification has been applied retrospectively to all periods presented and affects Selling, general and administrative expenses; Cost of revenue; and Gross profit on the Company's Unaudited Condensed Consolidated Statements of Income (Loss). This change in presentation had no impact to Revenue, Income (loss) from operations, Income (loss) before provision (benefit) for income taxes, Provision (benefit) for income taxes, Net income (loss), Earnings (loss) per common share, or other components of equity, net assets or cash flows. In addition, Selling, general and administrative expenses and Other Expenses information disclosed in Note 14 Segment Disclosure was updated for this change. The impacts of the update to the presentation of certain indirect costs on the Company’s Condensed Consolidated Financial Statements for the three and six month periods ended June 30, 2024 are reflected below under the "Effect of change" columns</w:t>
      </w:r>
      <w:r>
        <w:rPr>
          <w:rFonts w:ascii="Times New Roman" w:cs="Times New Roman" w:eastAsia="Times New Roman" w:hAnsi="Times New Roman"/>
          <w:sz w:val="19"/>
          <w:szCs w:val="19"/>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42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3"/>
        </w:trPr>
        <w:tc>
          <w:tcPr>
            <w:tcW w:w="4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90"/>
        </w:trPr>
        <w:tc>
          <w:tcPr>
            <w:tcW w:w="4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20" w:type="dxa"/>
            <w:vAlign w:val="bottom"/>
          </w:tcPr>
          <w:p>
            <w:pPr>
              <w:spacing w:after="0"/>
              <w:rPr>
                <w:sz w:val="16"/>
                <w:szCs w:val="16"/>
                <w:color w:val="auto"/>
              </w:rPr>
            </w:pP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Effect of change</w:t>
            </w:r>
          </w:p>
        </w:tc>
        <w:tc>
          <w:tcPr>
            <w:tcW w:w="420" w:type="dxa"/>
            <w:vAlign w:val="bottom"/>
          </w:tcPr>
          <w:p>
            <w:pPr>
              <w:spacing w:after="0"/>
              <w:rPr>
                <w:sz w:val="16"/>
                <w:szCs w:val="16"/>
                <w:color w:val="auto"/>
              </w:rPr>
            </w:pPr>
          </w:p>
        </w:tc>
        <w:tc>
          <w:tcPr>
            <w:tcW w:w="180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As Adjusted</w:t>
            </w:r>
          </w:p>
        </w:tc>
      </w:tr>
      <w:tr>
        <w:trPr>
          <w:trHeight w:val="229"/>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127,760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top w:val="single" w:sz="8" w:color="auto"/>
            </w:tcBorders>
            <w:shd w:val="clear" w:color="auto" w:fill="CCEEFF"/>
          </w:tcPr>
          <w:p>
            <w:pPr>
              <w:jc w:val="center"/>
              <w:ind w:left="1516"/>
              <w:spacing w:after="0"/>
              <w:rPr>
                <w:sz w:val="20"/>
                <w:szCs w:val="20"/>
                <w:color w:val="auto"/>
              </w:rPr>
            </w:pPr>
            <w:r>
              <w:rPr>
                <w:rFonts w:ascii="Times New Roman" w:cs="Times New Roman" w:eastAsia="Times New Roman" w:hAnsi="Times New Roman"/>
                <w:sz w:val="18"/>
                <w:szCs w:val="18"/>
                <w:color w:val="auto"/>
              </w:rPr>
              <w:t>4,776</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132,536</w:t>
            </w: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Pr>
          <w:p>
            <w:pPr>
              <w:jc w:val="center"/>
              <w:ind w:left="1496"/>
              <w:spacing w:after="0"/>
              <w:rPr>
                <w:sz w:val="20"/>
                <w:szCs w:val="20"/>
                <w:color w:val="auto"/>
              </w:rPr>
            </w:pPr>
            <w:r>
              <w:rPr>
                <w:rFonts w:ascii="Times New Roman" w:cs="Times New Roman" w:eastAsia="Times New Roman" w:hAnsi="Times New Roman"/>
                <w:sz w:val="18"/>
                <w:szCs w:val="18"/>
                <w:color w:val="auto"/>
                <w:w w:val="98"/>
              </w:rPr>
              <w:t>(4,776)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51,340</w:t>
            </w: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center"/>
              <w:ind w:left="1496"/>
              <w:spacing w:after="0"/>
              <w:rPr>
                <w:sz w:val="20"/>
                <w:szCs w:val="20"/>
                <w:color w:val="auto"/>
              </w:rPr>
            </w:pPr>
            <w:r>
              <w:rPr>
                <w:rFonts w:ascii="Times New Roman" w:cs="Times New Roman" w:eastAsia="Times New Roman" w:hAnsi="Times New Roman"/>
                <w:sz w:val="18"/>
                <w:szCs w:val="18"/>
                <w:color w:val="auto"/>
                <w:w w:val="98"/>
              </w:rPr>
              <w:t>(4,776)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36,181</w:t>
            </w:r>
          </w:p>
        </w:tc>
      </w:tr>
      <w:tr>
        <w:trPr>
          <w:trHeight w:val="530"/>
        </w:trPr>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4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3"/>
        </w:trPr>
        <w:tc>
          <w:tcPr>
            <w:tcW w:w="4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90"/>
        </w:trPr>
        <w:tc>
          <w:tcPr>
            <w:tcW w:w="4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20" w:type="dxa"/>
            <w:vAlign w:val="bottom"/>
          </w:tcPr>
          <w:p>
            <w:pPr>
              <w:spacing w:after="0"/>
              <w:rPr>
                <w:sz w:val="16"/>
                <w:szCs w:val="16"/>
                <w:color w:val="auto"/>
              </w:rPr>
            </w:pP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Effect of change</w:t>
            </w:r>
          </w:p>
        </w:tc>
        <w:tc>
          <w:tcPr>
            <w:tcW w:w="420" w:type="dxa"/>
            <w:vAlign w:val="bottom"/>
          </w:tcPr>
          <w:p>
            <w:pPr>
              <w:spacing w:after="0"/>
              <w:rPr>
                <w:sz w:val="16"/>
                <w:szCs w:val="16"/>
                <w:color w:val="auto"/>
              </w:rPr>
            </w:pPr>
          </w:p>
        </w:tc>
        <w:tc>
          <w:tcPr>
            <w:tcW w:w="180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As Adjusted</w:t>
            </w:r>
          </w:p>
        </w:tc>
      </w:tr>
      <w:tr>
        <w:trPr>
          <w:trHeight w:val="229"/>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255,179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top w:val="single" w:sz="8" w:color="auto"/>
            </w:tcBorders>
            <w:shd w:val="clear" w:color="auto" w:fill="CCEEFF"/>
          </w:tcPr>
          <w:p>
            <w:pPr>
              <w:jc w:val="center"/>
              <w:ind w:left="1516"/>
              <w:spacing w:after="0"/>
              <w:rPr>
                <w:sz w:val="20"/>
                <w:szCs w:val="20"/>
                <w:color w:val="auto"/>
              </w:rPr>
            </w:pPr>
            <w:r>
              <w:rPr>
                <w:rFonts w:ascii="Times New Roman" w:cs="Times New Roman" w:eastAsia="Times New Roman" w:hAnsi="Times New Roman"/>
                <w:sz w:val="18"/>
                <w:szCs w:val="18"/>
                <w:color w:val="auto"/>
              </w:rPr>
              <w:t>9,713</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264,892</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Pr>
          <w:p>
            <w:pPr>
              <w:jc w:val="center"/>
              <w:ind w:left="1496"/>
              <w:spacing w:after="0"/>
              <w:rPr>
                <w:sz w:val="20"/>
                <w:szCs w:val="20"/>
                <w:color w:val="auto"/>
              </w:rPr>
            </w:pPr>
            <w:r>
              <w:rPr>
                <w:rFonts w:ascii="Times New Roman" w:cs="Times New Roman" w:eastAsia="Times New Roman" w:hAnsi="Times New Roman"/>
                <w:sz w:val="18"/>
                <w:szCs w:val="18"/>
                <w:color w:val="auto"/>
                <w:w w:val="98"/>
              </w:rPr>
              <w:t>(9,713)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97,492</w:t>
            </w: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center"/>
              <w:ind w:left="1496"/>
              <w:spacing w:after="0"/>
              <w:rPr>
                <w:sz w:val="20"/>
                <w:szCs w:val="20"/>
                <w:color w:val="auto"/>
              </w:rPr>
            </w:pPr>
            <w:r>
              <w:rPr>
                <w:rFonts w:ascii="Times New Roman" w:cs="Times New Roman" w:eastAsia="Times New Roman" w:hAnsi="Times New Roman"/>
                <w:sz w:val="18"/>
                <w:szCs w:val="18"/>
                <w:color w:val="auto"/>
                <w:w w:val="98"/>
              </w:rPr>
              <w:t>(9,713)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5"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Note 1–</w:t>
      </w:r>
      <w:r>
        <w:rPr>
          <w:rFonts w:ascii="Times New Roman" w:cs="Times New Roman" w:eastAsia="Times New Roman" w:hAnsi="Times New Roman"/>
          <w:sz w:val="18"/>
          <w:szCs w:val="18"/>
          <w:b w:val="1"/>
          <w:bCs w:val="1"/>
          <w:i w:val="1"/>
          <w:iCs w:val="1"/>
          <w:color w:val="auto"/>
        </w:rPr>
        <w:t>Summary of Significant Accounting Policies and Practices</w:t>
      </w:r>
      <w:r>
        <w:rPr>
          <w:rFonts w:ascii="Times New Roman" w:cs="Times New Roman" w:eastAsia="Times New Roman" w:hAnsi="Times New Roman"/>
          <w:sz w:val="18"/>
          <w:szCs w:val="18"/>
          <w:color w:val="auto"/>
        </w:rPr>
        <w:t xml:space="preserve"> in the 2024 Annual Report. On an ongoing basis, the Company evaluates its estimates and assumptions, including among other things, those related to revenue recognition, long-lived assets, goodwill and acquisitions. Since the date of the 2024 Annual Report, there have been no material changes to the Company’s significant accounting policies.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We recognize deferred tax assets and liabilities at enacted income tax rates for the temporary differences between the financial reporting bases and the tax bases of our assets and liabilities. Any effects of changes in income tax rates or tax laws are included in the provision for income taxes in the period of enactment. Our net deferred tax assets primarily consist of net operating loss carry forwards, or NOLs. A valuation allowance is provided if it is more likely than not that some or all of a deferred income tax asset will not be realized. A current tax liability or asset is recognized for the estimated taxes payable or refundable on tax returns for the current and prior years.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management concluded that it is more likely than not that a substantial portion of the Company's deferred tax assets will be realized.</w:t>
      </w:r>
    </w:p>
    <w:p>
      <w:pPr>
        <w:spacing w:after="0" w:line="25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resolution.</w:t>
      </w:r>
    </w:p>
    <w:p>
      <w:pPr>
        <w:spacing w:after="0" w:line="203"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was approximately 25.4% and 15.5% for the three months ended June 30, 2025 and 2024, respectively. The Company’s effective income tax rate was approximately 71.4% and 14.9% for the six months ended June 30, 2025 and 2024, respectively.</w:t>
      </w:r>
    </w:p>
    <w:p>
      <w:pPr>
        <w:spacing w:after="0" w:line="203" w:lineRule="exact"/>
        <w:rPr>
          <w:sz w:val="20"/>
          <w:szCs w:val="20"/>
          <w:color w:val="auto"/>
        </w:rPr>
      </w:pPr>
    </w:p>
    <w:p>
      <w:pPr>
        <w:ind w:right="440"/>
        <w:spacing w:after="0" w:line="250" w:lineRule="auto"/>
        <w:rPr>
          <w:sz w:val="20"/>
          <w:szCs w:val="20"/>
          <w:color w:val="auto"/>
        </w:rPr>
      </w:pPr>
      <w:r>
        <w:rPr>
          <w:rFonts w:ascii="Times New Roman" w:cs="Times New Roman" w:eastAsia="Times New Roman" w:hAnsi="Times New Roman"/>
          <w:sz w:val="18"/>
          <w:szCs w:val="18"/>
          <w:color w:val="auto"/>
        </w:rPr>
        <w:t>The effective income tax rate for the three months ended June 30, 2025, was higher than the statutory rate primarily due to the impact of a favorable discrete item related to stock compensation. The effective income tax rate for the three months ended June 30, 2024, was lower than the statutory rate primarily due to the impact of a favorable discrete item related to stock compensation.</w:t>
      </w:r>
    </w:p>
    <w:p>
      <w:pPr>
        <w:spacing w:after="0" w:line="21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effective income tax rate for the six months ended June 30, 2025, was higher than the statutory rate primarily due to the impact of a favorable discrete item related to stock compensation. The effective income tax rate for the six months ended June 30, 2024, was lower than the statutory rate primarily due to the reversal of valuation allowances.</w:t>
      </w:r>
    </w:p>
    <w:p>
      <w:pPr>
        <w:spacing w:after="0" w:line="21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On July 4, 2025, H.R.1, commonly referred to as the One Big Beautiful Bill Act ("OBBBA"), was enacted, which includes a broad range of tax reform provisions. We are currently evaluating the impact of the OBBBA.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2023-07, Segment Reporting (Topic 280) to expand the disclosures about a public entity's reportable segments and address requests from investors for additional, more detailed information about a reportable segment's expenses. The new standard is effective for fiscal years beginning after December 15, 2023, and interim periods within fiscal years beginning after December 15, 2024. We adopted the provisions of this ASU in the fourth quarter of 2024 and applied the provisions retrospectively to each period presented in the consolidated financial statements. Adoption of the new standard did not have a material impact on our condensed consolidated financial statements.</w:t>
      </w:r>
    </w:p>
    <w:p>
      <w:pPr>
        <w:spacing w:after="0" w:line="21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to enhance the transparency and decision usefulness of income tax disclosures, primarily related to the rate reconciliation and income taxes paid disclosures. The new standard is effective for fiscal years beginning after December 15, 2024. We are currently evaluating the impacts this standard will have on our disclosures.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November 4, 2024, the FASB issued ASU 2024-03, Income Statement - Reporting Comprehensive Income (Topic 220): Expense Disaggregation Disclosures, to require disaggregation of certain expense captions into specified categories in disclosures within the notes of the financial statements. The standard is effective for fiscal years beginning after December 31, 2026 and early adoption is permitted. The guidance is required to be applied prospectively and amendments in the ASU may be applied prospectively or retrospectively. We are currently evaluating the impacts this standard will have on our disclosures.</w:t>
      </w:r>
    </w:p>
    <w:p>
      <w:pPr>
        <w:spacing w:after="0" w:line="2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March 6, 2024, the SEC adopted the final rule under SEC Release No. 33-11275, The Enhancement and Standardization of Climate-Related Disclosures for Investors, which will require registrants to provide certain climate-related information in their registration statements and periodic reports. The required disclosures will include, but are not limited to, specific disclosures about climate-related risks and their actual or likely material impacts on the registrant’s business, strategy, and outlook; the governance of climate-related risks and relevant risk management processes; Scope 1 and 2 greenhouse gas (GHG) emissions, if material or included in announced emission targets; certain climate-related financial statement metrics and related disclosures in a note to the audited financial statements; and information about climate-related targets and goals. The rules are effective on a rolling basis for various fiscal years, beginning for the Company with annual reports for the year ending December 31, 2025. However, in response to various legal challenges, the SEC voluntarily stayed the rules on April 4, 2024, which may impact the ultimate effective date of the rules. We will continue to monitor any developments on these rules and expected timing for compliance.</w:t>
      </w:r>
    </w:p>
    <w:p>
      <w:pPr>
        <w:spacing w:after="0" w:line="21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Revenue</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The Company derives the majority of its revenue by providing services on a time and material basis, and are short-term in nature. The Company accounts for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4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provides highly integrated and bundled inspection services to its customers. The majority of the Company's contracts have a single performance obligation as the promise to transfer the individual goods or services is not separately identifiable from other promises in the contracts and is, therefore, not distinct. For contracts with multiple performance obligations, the Company allocates the contract’s transaction price to each performance obligation using the Company's best estimate of the standalone selling price of each distinct good or service in the contract. The primary method used to estimate standalone selling price is a relative selling price based on price lists.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modifications are not routine in the performance of the Company's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performance obligations are satisfied over time as work progresses or at a point in time. The majority of the Company's revenue is recognized over time as work progresses for the Company's service deliverables, which includes providing testing, inspection and mechanical services to our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For these arrangements, revenue is recognized on a cost-to-cost method tracked on an input basis.</w:t>
      </w:r>
    </w:p>
    <w:p>
      <w:pPr>
        <w:spacing w:after="0" w:line="21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majority of our revenue recognized at a point in time is related to product sales when the customer obtains control of the asset, which is generally upon shipment to the customer. Contract costs include labor, material and overhead.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any significant remaining performance obligations to be satisfied within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25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majority of the Company's revenues are short-term in nature. The Company enters into master service agreements ("MSA"s) with customers that specify an overall framework and contract terms. The actual contracting to provide services or furnish products are triggered by a work order, purchase order, or some similar document issued pursuant to a MSA which sets forth the scope of services and/or identifies the products to be provided. From time-to-time, the Company may enter into longer-term contracts, which can range from several months to several years. Revenue on certain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the Company's project managers, engineers and financial professionals. Factors that are considered in estimating the work to be completed include the availability of materials, the effect of any delays in the Company's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series of tables present the Company's disaggregated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industry was as follows: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60" w:type="dxa"/>
            <w:vAlign w:val="bottom"/>
          </w:tcPr>
          <w:p>
            <w:pPr>
              <w:spacing w:after="0"/>
              <w:rPr>
                <w:sz w:val="16"/>
                <w:szCs w:val="16"/>
                <w:color w:val="auto"/>
              </w:rPr>
            </w:pPr>
          </w:p>
        </w:tc>
        <w:tc>
          <w:tcPr>
            <w:tcW w:w="13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8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0" w:type="dxa"/>
            <w:vAlign w:val="bottom"/>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&amp; Gas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102,816</w:t>
            </w:r>
          </w:p>
        </w:tc>
      </w:tr>
      <w:tr>
        <w:trPr>
          <w:trHeight w:val="230"/>
        </w:trPr>
        <w:tc>
          <w:tcPr>
            <w:tcW w:w="20" w:type="dxa"/>
            <w:vAlign w:val="bottom"/>
          </w:tcPr>
          <w:p>
            <w:pPr>
              <w:spacing w:after="0"/>
              <w:rPr>
                <w:sz w:val="19"/>
                <w:szCs w:val="19"/>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Aerospace &amp; Defense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24,002</w:t>
            </w:r>
          </w:p>
        </w:tc>
      </w:tr>
      <w:tr>
        <w:trPr>
          <w:trHeight w:val="229"/>
        </w:trPr>
        <w:tc>
          <w:tcPr>
            <w:tcW w:w="20" w:type="dxa"/>
            <w:vAlign w:val="bottom"/>
          </w:tcPr>
          <w:p>
            <w:pPr>
              <w:spacing w:after="0"/>
              <w:rPr>
                <w:sz w:val="19"/>
                <w:szCs w:val="19"/>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19,604</w:t>
            </w:r>
          </w:p>
        </w:tc>
      </w:tr>
      <w:tr>
        <w:trPr>
          <w:trHeight w:val="230"/>
        </w:trPr>
        <w:tc>
          <w:tcPr>
            <w:tcW w:w="20" w:type="dxa"/>
            <w:vAlign w:val="bottom"/>
          </w:tcPr>
          <w:p>
            <w:pPr>
              <w:spacing w:after="0"/>
              <w:rPr>
                <w:sz w:val="19"/>
                <w:szCs w:val="19"/>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11,793</w:t>
            </w: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Process Industries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11,049</w:t>
            </w:r>
          </w:p>
        </w:tc>
      </w:tr>
      <w:tr>
        <w:trPr>
          <w:trHeight w:val="230"/>
        </w:trPr>
        <w:tc>
          <w:tcPr>
            <w:tcW w:w="20" w:type="dxa"/>
            <w:vAlign w:val="bottom"/>
          </w:tcPr>
          <w:p>
            <w:pPr>
              <w:spacing w:after="0"/>
              <w:rPr>
                <w:sz w:val="19"/>
                <w:szCs w:val="19"/>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w:t>
            </w: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Petrochemical</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w:t>
            </w:r>
          </w:p>
        </w:tc>
      </w:tr>
      <w:tr>
        <w:trPr>
          <w:trHeight w:val="229"/>
        </w:trPr>
        <w:tc>
          <w:tcPr>
            <w:tcW w:w="20" w:type="dxa"/>
            <w:vAlign w:val="bottom"/>
          </w:tcPr>
          <w:p>
            <w:pPr>
              <w:spacing w:after="0"/>
              <w:rPr>
                <w:sz w:val="19"/>
                <w:szCs w:val="19"/>
                <w:color w:val="auto"/>
              </w:rPr>
            </w:pPr>
          </w:p>
        </w:tc>
        <w:tc>
          <w:tcPr>
            <w:tcW w:w="3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(4,404)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w:t>
            </w:r>
          </w:p>
        </w:tc>
      </w:tr>
      <w:tr>
        <w:trPr>
          <w:trHeight w:val="248"/>
        </w:trPr>
        <w:tc>
          <w:tcPr>
            <w:tcW w:w="20" w:type="dxa"/>
            <w:vAlign w:val="bottom"/>
          </w:tcPr>
          <w:p>
            <w:pPr>
              <w:spacing w:after="0"/>
              <w:rPr>
                <w:sz w:val="21"/>
                <w:szCs w:val="21"/>
                <w:color w:val="auto"/>
              </w:rPr>
            </w:pPr>
          </w:p>
        </w:tc>
        <w:tc>
          <w:tcPr>
            <w:tcW w:w="3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147,992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(4,404)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185,405</w:t>
            </w: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518"/>
        </w:trPr>
        <w:tc>
          <w:tcPr>
            <w:tcW w:w="2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60" w:type="dxa"/>
            <w:vAlign w:val="bottom"/>
          </w:tcPr>
          <w:p>
            <w:pPr>
              <w:spacing w:after="0"/>
              <w:rPr>
                <w:sz w:val="24"/>
                <w:szCs w:val="24"/>
                <w:color w:val="auto"/>
              </w:rPr>
            </w:pP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80" w:type="dxa"/>
            <w:vAlign w:val="bottom"/>
          </w:tcPr>
          <w:p>
            <w:pPr>
              <w:spacing w:after="0"/>
              <w:rPr>
                <w:sz w:val="24"/>
                <w:szCs w:val="24"/>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24"/>
                <w:szCs w:val="24"/>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24"/>
                <w:szCs w:val="24"/>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&amp; Gas</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96,356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12,735</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109,256</w:t>
            </w: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Aerospace &amp; Defense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22,340</w:t>
            </w:r>
          </w:p>
        </w:tc>
      </w:tr>
      <w:tr>
        <w:trPr>
          <w:trHeight w:val="229"/>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18,294</w:t>
            </w: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9,033</w:t>
            </w:r>
          </w:p>
        </w:tc>
      </w:tr>
      <w:tr>
        <w:trPr>
          <w:trHeight w:val="230"/>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Process Industries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14,909</w:t>
            </w: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w:t>
            </w:r>
          </w:p>
        </w:tc>
      </w:tr>
      <w:tr>
        <w:trPr>
          <w:trHeight w:val="229"/>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Petrochemical</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w:t>
            </w:r>
          </w:p>
        </w:tc>
      </w:tr>
      <w:tr>
        <w:trPr>
          <w:trHeight w:val="230"/>
        </w:trPr>
        <w:tc>
          <w:tcPr>
            <w:tcW w:w="20" w:type="dxa"/>
            <w:vAlign w:val="bottom"/>
            <w:tcBorders>
              <w:bottom w:val="single" w:sz="8" w:color="CCEEFF"/>
            </w:tcBorders>
          </w:tcPr>
          <w:p>
            <w:pPr>
              <w:spacing w:after="0"/>
              <w:rPr>
                <w:sz w:val="19"/>
                <w:szCs w:val="19"/>
                <w:color w:val="auto"/>
              </w:rPr>
            </w:pPr>
          </w:p>
        </w:tc>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(4,258)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3,289</w:t>
            </w:r>
          </w:p>
        </w:tc>
      </w:tr>
      <w:tr>
        <w:trPr>
          <w:trHeight w:val="243"/>
        </w:trPr>
        <w:tc>
          <w:tcPr>
            <w:tcW w:w="20" w:type="dxa"/>
            <w:vAlign w:val="bottom"/>
            <w:shd w:val="clear" w:color="auto" w:fill="CCEEFF"/>
          </w:tcPr>
          <w:p>
            <w:pPr>
              <w:spacing w:after="0"/>
              <w:rPr>
                <w:sz w:val="21"/>
                <w:szCs w:val="21"/>
                <w:color w:val="auto"/>
              </w:rPr>
            </w:pPr>
          </w:p>
        </w:tc>
        <w:tc>
          <w:tcPr>
            <w:tcW w:w="3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156,394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(4,258)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189,773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&amp; Gas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199,380</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&amp; Defense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44,406</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38,174</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16,446</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Process Industries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21,302</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15,281</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Petrochemical</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w:t>
            </w:r>
          </w:p>
        </w:tc>
      </w:tr>
      <w:tr>
        <w:trPr>
          <w:trHeight w:val="229"/>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8"/>
              </w:rPr>
              <w:t>(7,996)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6,285</w:t>
            </w:r>
          </w:p>
        </w:tc>
      </w:tr>
      <w:tr>
        <w:trPr>
          <w:trHeight w:val="248"/>
        </w:trPr>
        <w:tc>
          <w:tcPr>
            <w:tcW w:w="3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8"/>
              </w:rPr>
              <w:t>(7,996)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347,020</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18"/>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6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16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24"/>
                <w:szCs w:val="24"/>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&amp; Gas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199,383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222,421</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&amp; Defense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44,458</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33,493</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Process Industries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26,809</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15,219</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Petrochemical</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w:t>
            </w:r>
          </w:p>
        </w:tc>
      </w:tr>
      <w:tr>
        <w:trPr>
          <w:trHeight w:val="229"/>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8"/>
              </w:rPr>
              <w:t>(6,422)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8,567</w:t>
            </w:r>
          </w:p>
        </w:tc>
      </w:tr>
      <w:tr>
        <w:trPr>
          <w:trHeight w:val="248"/>
        </w:trPr>
        <w:tc>
          <w:tcPr>
            <w:tcW w:w="3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8"/>
              </w:rPr>
              <w:t>(6,422)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374,215</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per key geographic location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6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0" w:type="dxa"/>
            <w:vAlign w:val="bottom"/>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130,490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36,173</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185,405</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8"/>
        </w:trPr>
        <w:tc>
          <w:tcPr>
            <w:tcW w:w="40" w:type="dxa"/>
            <w:vAlign w:val="bottom"/>
          </w:tcPr>
          <w:p>
            <w:pPr>
              <w:spacing w:after="0"/>
              <w:rPr>
                <w:sz w:val="24"/>
                <w:szCs w:val="24"/>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6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24"/>
                <w:szCs w:val="24"/>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16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24"/>
                <w:szCs w:val="24"/>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0" w:type="dxa"/>
            <w:vAlign w:val="bottom"/>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132,635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3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189,773</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3"/>
        </w:trPr>
        <w:tc>
          <w:tcPr>
            <w:tcW w:w="40" w:type="dxa"/>
            <w:vAlign w:val="bottom"/>
          </w:tcPr>
          <w:p>
            <w:pPr>
              <w:spacing w:after="0"/>
              <w:rPr>
                <w:sz w:val="24"/>
                <w:szCs w:val="24"/>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6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24"/>
                <w:szCs w:val="24"/>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16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24"/>
                <w:szCs w:val="24"/>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0" w:type="dxa"/>
            <w:vAlign w:val="bottom"/>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248,754</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3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347,020</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6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262,474</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43,762</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61,380</w:t>
            </w:r>
          </w:p>
        </w:tc>
      </w:tr>
      <w:tr>
        <w:trPr>
          <w:trHeight w:val="230"/>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6,599</w:t>
            </w:r>
          </w:p>
        </w:tc>
      </w:tr>
      <w:tr>
        <w:trPr>
          <w:trHeight w:val="248"/>
        </w:trPr>
        <w:tc>
          <w:tcPr>
            <w:tcW w:w="3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374,215</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(contract liabilities) on the Consolidated Balance Sheets. Amounts are generally billed as work progresses in accordance with agreed-upon contractual terms, generally at periodic intervals (e.g., weekly, bi-weekly or monthly). Generally, billing occurs subsequent to revenue recognition, resulting in contract assets. However, the Company sometimes receives advances or deposits from its customers before revenue is recognized, resulting in contract liabilities. These assets and liabilities are aggregated on an individual contract basis and reported on the Consolidated Balance Sheets at the end of each reporting period within accounts receivable, net or accrued expenses and other current liabilities.</w:t>
      </w: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Revenue recognized during the six months ended June 30, 2025 and 2024 that was included in the contract liability balance at the beginning of the year was $5.3 million and $4.8 million, respectively. Changes in the contract asset and liability balances during these periods were not materially impacted by any other factors. The Company applies the practical expedient to expense incremental costs incurred related to obtaining a contract when the amortization period of the asset that the Company otherwise would have recognized is one year or less.</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2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Company grants share-based incentive awards to its eligible employees and non-employee directors under its 2016 Long-Term Incentive Plan (the "2016 Plan"). Awards granted under the 2016 Plan may be in the form of stock options, restricted stock units and other forms of share-based incentives, including performance-based restricted stock units, stock appreciation rights and deferred stock rights. At the annual shareholders meeting on May 14, 2024, the Company’s shareholders approved an amendment to increase the total number of shares that may be issued under the 2016 Plan by 1.3 million, for a total of 6.2 million shares that are authorized for issuance under the 2016 Plan, of which approximately 823,000 shares were available for future grants as of June 30,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December 31, 2024, the Compensation Committee (the "Compensation Committee") of the Company's Board of Directors approved the grant to Mr. Stamatakis, of a stock option for the purchase of 375,000 shares of the Company's common stock at an exercise price per share equal to the closing price of the common stock, as reported on the New York Stock Exchange (the "NYSE"), on the grant date of January 6, 2025 (the "Grant Date"). This stock option will vest and become exercisable on the first anniversary of the Grant Date, subject to accelerated vesting and exercisability upon termination of Mr. Stamatakis's employment due to his death or disability. In addition, if Mr. Stamatakis' employment ceases due to his termination by the Company without cause or his resignation with good reason, then pursuant to his employment agreement with the Company, the vesting and exercisability of this stock option will accelerate. The outside expiration date of this stock option is the tenth anniversary of the Grant Date.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stock option activity, weighted-average exercise prices and options outstanding as of June 30, 2025 (in thousands, except per share amounts and years):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3"/>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320" w:type="dxa"/>
            <w:vAlign w:val="bottom"/>
          </w:tcPr>
          <w:p>
            <w:pPr>
              <w:spacing w:after="0"/>
              <w:rPr>
                <w:sz w:val="11"/>
                <w:szCs w:val="11"/>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jc w:val="center"/>
              <w:ind w:right="179"/>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3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8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3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8"/>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29"/>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Expired or forfeited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3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 recognized $1.0 million of share-based compensation expense within Reorganization and other costs during the six months ended June 30, 2025 related to the stock options that were granted in the first quarter of 2025. $1.0 million of share-based compensation expense related to stock options remains unrecognized as of the end of the current period, which is all expected to be recognized during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Issuances to Non-Employee Directors</w:t>
      </w:r>
    </w:p>
    <w:p>
      <w:pPr>
        <w:spacing w:after="0" w:line="256"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As part of its compensation program for non-employee directors, the Company issues fully-vested common stock to its non-employee directors. Prior to 2025, the shares of common stock were issued in semi-annual awards during the quarters ended March 31 and September 30. In 2025, non-employee directors received a single award during the quarter ended June 30, 2025. A summary of the fully-vested common stock the Company issued to its non-employee directors, in connection with its non-employee director compensation,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680" w:type="dxa"/>
            <w:vAlign w:val="bottom"/>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0"/>
        </w:trPr>
        <w:tc>
          <w:tcPr>
            <w:tcW w:w="80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issued</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date fair value of awards issued</w:t>
            </w:r>
          </w:p>
        </w:tc>
        <w:tc>
          <w:tcPr>
            <w:tcW w:w="1040" w:type="dxa"/>
            <w:vAlign w:val="bottom"/>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Pr>
          <w:p>
            <w:pPr>
              <w:spacing w:after="0"/>
              <w:rPr>
                <w:sz w:val="20"/>
                <w:szCs w:val="20"/>
                <w:color w:val="auto"/>
              </w:rPr>
            </w:pP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For the three months ended June 30, 2025 and June 30, 2024, the Company recognized share-based compensation expense within Selling, general and administrative expenses related to restricted stock unit awards of $0.9 million and $1.3 million, respectively. For the six months ended June 30, 2025 and June 30, 2024, the Company recognized share-based compensation expense within Selling, general and administrative expenses related to restricted stock unit awards of $2.1 million and $2.3 million, respectively. For the three months ended June 30, 2025, the Company recognized share-based compensation expense within Reorganization and other costs related to restricted stock unit awards of $0.5 million. As of June 30, 2025, there was $7.1 million of unrecognized compensation costs related to restricted stock unit awards, which is expected to be recognized over a remaining weighted-average period of 2.6 years. Upon vesting, restricted stock units are generally net share-settled to cover the required withholding tax and the remaining amount is converted into an equivalent number of shares of common stock.</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vesting activity of restricted stock unit awards, with the respective fair value of the awards,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620" w:type="dxa"/>
            <w:vAlign w:val="bottom"/>
            <w:gridSpan w:val="4"/>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80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 vested</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3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awards vested</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20" w:type="dxa"/>
            <w:vAlign w:val="bottom"/>
          </w:tcPr>
          <w:p>
            <w:pPr>
              <w:spacing w:after="0"/>
              <w:rPr>
                <w:sz w:val="20"/>
                <w:szCs w:val="20"/>
                <w:color w:val="auto"/>
              </w:rPr>
            </w:pP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outstanding, non-vested restricted share units is as follows:</w:t>
      </w:r>
    </w:p>
    <w:p>
      <w:pPr>
        <w:spacing w:after="0" w:line="286"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38"/>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78"/>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7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00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400"/>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52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218"/>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574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0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29"/>
        </w:trPr>
        <w:tc>
          <w:tcPr>
            <w:tcW w:w="5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2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Restricted Stock Units</w:t>
      </w:r>
    </w:p>
    <w:p>
      <w:pPr>
        <w:spacing w:after="0" w:line="25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Company maintains Performance Restricted Stock Units ("PRSUs") that have been granted to select executives and senior officers, the ultimate payout of which may vary between zero and 200% of the target award, based on the Company’s performance over a one-year period based on specific metrics approved by the Compensation Committee of the Board of Directors of the Company.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2024, the Compensation Committee used the following three performance metrics for PRSUs awarded in that year.</w:t>
      </w:r>
    </w:p>
    <w:p>
      <w:pPr>
        <w:spacing w:after="0" w:line="250" w:lineRule="exact"/>
        <w:rPr>
          <w:sz w:val="20"/>
          <w:szCs w:val="20"/>
          <w:color w:val="auto"/>
        </w:rPr>
      </w:pPr>
    </w:p>
    <w:p>
      <w:pPr>
        <w:ind w:left="660" w:hanging="328"/>
        <w:spacing w:after="0" w:line="26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defined as net cash provided by operating activities less purchases of property, plant, equipment and intangible assets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adjustments approved by the Compensation Committee.</w:t>
      </w: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defined as net income attributable to the Company plus: interest expense, provision for income taxes,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share-based compensation expense and certain acquisition related costs (including transaction due diligence costs and adjustments to the fair value of contingent consideration), foreign exchange (gain) loss and, if applicable, certain special items which are noted.</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PRSUs awarded in 2025, the Compensation Committee utilized the same metrics as 2024 PRSUs, but with revised performance goals.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PRSUs are equity-classified and compensation costs related to PRSUs with performance conditions are initially measured using the fair value of the underlying stock at the date of grant. Compensation costs related to the PRSUs with performance conditions are subsequently adjusted for changes in the expected outcomes of the performance conditions. Compensation cost related to the PRSUs with a market condition is not reversed if the market condition is not achieved, provided the employee requisite service has been rendered. Earned PRSUs generally vest ratably in four equal annual installments over the four years following completion of the performance period, for a total requisite service period of up to five years, and have no dividend equivalent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PRSU activity is as follows:</w:t>
      </w:r>
    </w:p>
    <w:p>
      <w:pPr>
        <w:spacing w:after="0" w:line="286"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37"/>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77"/>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77"/>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02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400"/>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52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217"/>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57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0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29"/>
        </w:trPr>
        <w:tc>
          <w:tcPr>
            <w:tcW w:w="5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Performance condition adjustments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Borders>
              <w:bottom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2025 and June 30, 2024, the Company recognized aggregate share-based compensation expense related to the awards described above of approximately $0.4 million and $0.3 million, respectively. For the six months ended June 30, 2025 and June 30, 2024, the Company recognized aggregate share-based compensation expense related to the awards described above of approximately $0.6 million and $0.3 million, respectively. At June 30, 2025, there was $3.9 million of total unrecognized compensation costs related to approximately 493,000 non-vested PRSUs, which is expected to be recognized over a remaining weighted-average period of 2.9 years.</w:t>
      </w:r>
    </w:p>
    <w:p>
      <w:pPr>
        <w:spacing w:after="0" w:line="200" w:lineRule="exact"/>
        <w:rPr>
          <w:sz w:val="20"/>
          <w:szCs w:val="20"/>
          <w:color w:val="auto"/>
        </w:rPr>
      </w:pPr>
    </w:p>
    <w:p>
      <w:pPr>
        <w:spacing w:after="0" w:line="29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Earnings (loss) per Share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by the weighted-average number of shares outstanding during the period. Diluted earnings (loss) per share is computed by dividing net income (loss) by the sum of (1) the weighted-average number of shares of common stock outstanding during the period, and (2) the dilutive effect of assumed conversion of equity awards using the treasury stock method. With respect to the number of weighted-average shares outstanding (denominator), diluted shares reflect: (i) the exercise of options to acquire common stock to the extent that the options’ exercise prices are less than the average market price of common shares during the period and (ii) the pro forma vesting of restricted stock units.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computations of basic and diluted earnings (loss) per share: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8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40"/>
        </w:trPr>
        <w:tc>
          <w:tcPr>
            <w:tcW w:w="4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Mistras Group, Inc.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30,842</w:t>
            </w: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57"/>
        </w:trPr>
        <w:tc>
          <w:tcPr>
            <w:tcW w:w="48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Mistras Group, Inc.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30,842</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Dilutive effect of stock options outstanding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Dilutive effect of restricted stock units outstanding </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48"/>
        </w:trPr>
        <w:tc>
          <w:tcPr>
            <w:tcW w:w="48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31,358</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80" w:type="dxa"/>
            <w:vAlign w:val="bottom"/>
            <w:vMerge w:val="continue"/>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9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80" w:right="60" w:hanging="172"/>
        <w:spacing w:after="0" w:line="242" w:lineRule="auto"/>
        <w:tabs>
          <w:tab w:leader="none" w:pos="183"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three months ended June 30, 2025, 375,000 shares, related to stock options and 877,000 shares, related to restricted stock units were anti-dilutive and therefore were excluded from the calculation of diluted earnings (loss) per share. For the six months ended June 30, 2025, 106,000 shares, related to stock options and 867,000 shares, related to restricted stock units were excluded from the calculation of diluted earnings (loss) per share due to the net loss for the period.</w:t>
      </w: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Accounts Receivable,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consisted of the following (in thousands):</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7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30"/>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129,894</w:t>
            </w:r>
          </w:p>
        </w:tc>
      </w:tr>
      <w:tr>
        <w:trPr>
          <w:trHeight w:val="230"/>
        </w:trPr>
        <w:tc>
          <w:tcPr>
            <w:tcW w:w="7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w:t>
            </w:r>
          </w:p>
        </w:tc>
      </w:tr>
      <w:tr>
        <w:trPr>
          <w:trHeight w:val="248"/>
        </w:trPr>
        <w:tc>
          <w:tcPr>
            <w:tcW w:w="7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had $41.0 million and $21.3 million of unbilled revenue accrued as of June 30, 2025 and December 31, 2024, respectively. These amounts are included in the trade accounts receivable balances above. Unbilled revenue is generally billed in the subsequent quarter to their revenue recognition. The Company considers unbilled receivables as short-term in nature as they are normally converted to trade receivables within 90 days, thus future changes in economic conditions will not have a significant effect on the credit loss estimate.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Inventories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consumable supplies</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15,118</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 net</w:t>
            </w: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64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20" w:type="dxa"/>
            <w:vAlign w:val="bottom"/>
          </w:tcPr>
          <w:p>
            <w:pPr>
              <w:spacing w:after="0"/>
              <w:rPr>
                <w:sz w:val="14"/>
                <w:szCs w:val="14"/>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66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6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10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302,803</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6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344,810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6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(258,901)</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three months ended June 30, 2025 and 2024 was approximately $6.1 million and $6.4 million,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six months ended June 30, 2025 and 2024 was $12.1 million and $12.8 million, respectively.</w:t>
      </w: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by segment is shown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Products and Systems</w:t>
            </w:r>
          </w:p>
        </w:tc>
        <w:tc>
          <w:tcPr>
            <w:tcW w:w="360" w:type="dxa"/>
            <w:vAlign w:val="bottom"/>
          </w:tcPr>
          <w:p>
            <w:pPr>
              <w:spacing w:after="0"/>
              <w:rPr>
                <w:sz w:val="16"/>
                <w:szCs w:val="16"/>
                <w:color w:val="auto"/>
              </w:rPr>
            </w:pPr>
          </w:p>
        </w:tc>
        <w:tc>
          <w:tcPr>
            <w:tcW w:w="118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181,442</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w:t>
            </w: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185,125</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reviews goodwill for impairment on a reporting unit basis on October 1 of each year and whenever events or changes in circumstances indicate the carrying value of goodwill may not be recoverable.</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performed a quantitative annual impairment test as of October 1, 2024 and the Company did not identify any changes in circumstances that would indicate the carrying value of goodwill may not be recoverable. Additionally, through June 30, 2025, the Company did not identify any changes in circumstances that would indicate the carrying value of goodwill may not be recoverable. Significant adverse changes in future periods could negatively affect the Company's key assumptions and may result in future goodwill impairment charges which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amount, accumulated amortization and net carrying amount of intangible assets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40" w:type="dxa"/>
            <w:vAlign w:val="bottom"/>
          </w:tcPr>
          <w:p>
            <w:pPr>
              <w:spacing w:after="0"/>
              <w:rPr>
                <w:sz w:val="11"/>
                <w:szCs w:val="11"/>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37"/>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30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57"/>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7"/>
                <w:szCs w:val="17"/>
                <w:color w:val="auto"/>
              </w:rPr>
            </w:pPr>
          </w:p>
        </w:tc>
        <w:tc>
          <w:tcPr>
            <w:tcW w:w="100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93"/>
        </w:trPr>
        <w:tc>
          <w:tcPr>
            <w:tcW w:w="3040" w:type="dxa"/>
            <w:vAlign w:val="bottom"/>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15,484</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Software/Technology</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23,484</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Covenants not to compete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48"/>
        </w:trPr>
        <w:tc>
          <w:tcPr>
            <w:tcW w:w="3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39,708</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three months ended June 30, 2025 and 2024 was approximately $1.6 million and $1.9 million,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six months ended June 30, 2025 and 2024 was $3.4 million and $3.9 million, respectively.</w:t>
      </w:r>
    </w:p>
    <w:p>
      <w:pPr>
        <w:spacing w:after="0" w:line="24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tab/>
        <w:t>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wages and related employee benefits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27,990</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workers’ compensation and health benefits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accrual</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liability - Operating</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11,375</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32,586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30,416</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85,233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Long-Term Debt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7"/>
                <w:szCs w:val="17"/>
                <w:color w:val="auto"/>
              </w:rPr>
            </w:pP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59,650</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term loan, net of unamortized debt issuance costs of $0.2 million and $0.3 million, respectively</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107,545</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169,647</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(11,591)</w:t>
            </w: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176,345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158,056</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Credit Facility</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 2022, the Company entered into a credit agreement (the “Credit Agreement”), which provides the Company with a $190 million 5-year committed revolving credit facility and a $125 million term loan with a balance of $102.9 million as of June 30, 2025. The Credit Agreement permits the Company to borrow up to $100 million in non-U.S. dollar currencies and to use up to $20 million of the credit limit for the issuance of letters of credit. Both the revolving line of credit and the term loan under the Credit Agreement have a maturity date of July 30, 2027.</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has the following key terms, conditions and financial covenants:</w:t>
      </w:r>
    </w:p>
    <w:p>
      <w:pPr>
        <w:spacing w:after="0" w:line="252" w:lineRule="exact"/>
        <w:rPr>
          <w:sz w:val="20"/>
          <w:szCs w:val="20"/>
          <w:color w:val="auto"/>
        </w:rPr>
      </w:pPr>
    </w:p>
    <w:p>
      <w:pPr>
        <w:ind w:left="660" w:right="34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bear interest at Secured Overnight Financing Rate ("SOFR") plus a credit spread adjustment and applicable SOFR margin ranging from 1.25% to 2.75%, based upon our Total Consolidated Debt Leverage Ratio (defined below).</w:t>
      </w:r>
    </w:p>
    <w:p>
      <w:pPr>
        <w:ind w:left="1300" w:right="720" w:hanging="320"/>
        <w:spacing w:after="0" w:line="250" w:lineRule="auto"/>
        <w:tabs>
          <w:tab w:leader="none" w:pos="12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Consolidated Debt Leverage Ratio means the ratio of (a) Total Consolidated Debt to (b) EBITDA (as defined in the Credit Agreement) for the trailing four consecutive fiscal quarters.</w:t>
      </w: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Consolidated Debt means all indebtedness (including subordinated debt) of the Company on a consolidated basis.</w:t>
      </w:r>
    </w:p>
    <w:p>
      <w:pPr>
        <w:spacing w:after="0" w:line="233" w:lineRule="exact"/>
        <w:rPr>
          <w:rFonts w:ascii="Times New Roman" w:cs="Times New Roman" w:eastAsia="Times New Roman" w:hAnsi="Times New Roman"/>
          <w:sz w:val="18"/>
          <w:szCs w:val="18"/>
          <w:color w:val="auto"/>
        </w:rPr>
      </w:pPr>
    </w:p>
    <w:p>
      <w:pPr>
        <w:jc w:val="both"/>
        <w:ind w:left="660" w:right="4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benefit of the lowest SOFR margin if its Total Consolidated Debt Leverage Ratio is equal to or less than 1.25 to 1.0, and the margin increases as the ratio increases, to the maximum margin if the ratio is greater than 3.75 to 1.0. The Credit Agreement is secured by liens on substantially all the assets of the Company and certain of its U.S subsidiaries and is guaranteed by those U.S. subsidiaries.</w:t>
      </w:r>
    </w:p>
    <w:p>
      <w:pPr>
        <w:spacing w:after="0" w:line="202"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required to maintain a Total Consolidated Debt Leverage Ratio of no more than 4.0 to 1.0 at the end of each quarter through June 30, 2023 and stepping down to a maximum permitted ratio of no more than 3.75 to 1.0 for the remainder of the term.</w:t>
      </w:r>
    </w:p>
    <w:p>
      <w:pPr>
        <w:spacing w:after="0" w:line="188"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required to maintain a Fixed Charge Coverage Ratio of 1.25 to 1.0 for the duration of the Credit Agreement, as defined in the Credit Agreement.</w:t>
      </w:r>
    </w:p>
    <w:p>
      <w:pPr>
        <w:spacing w:after="0" w:line="188" w:lineRule="exact"/>
        <w:rPr>
          <w:rFonts w:ascii="Times New Roman" w:cs="Times New Roman" w:eastAsia="Times New Roman" w:hAnsi="Times New Roman"/>
          <w:sz w:val="18"/>
          <w:szCs w:val="18"/>
          <w:color w:val="auto"/>
        </w:rPr>
      </w:pPr>
    </w:p>
    <w:p>
      <w:pPr>
        <w:jc w:val="both"/>
        <w:ind w:left="660" w:right="34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limits the Company’s ability to, among other things, create liens, make investments, incur more indebtedness, merge or consolidate, make dispositions of property, pay dividends, make distributions to stockholders or repurchase our stock, enter into a new line of business, enter into transactions with affiliates and enter into burdensome agreements.</w:t>
      </w:r>
    </w:p>
    <w:p>
      <w:pPr>
        <w:spacing w:after="0" w:line="202"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the Company must provide written notice at least five business days prior to the date of an acquisition of $10 million or more.</w:t>
      </w:r>
    </w:p>
    <w:p>
      <w:pPr>
        <w:spacing w:after="0" w:line="206"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payments on the term loan of $1.56 million through June 30, 2024, then increasing to $2.34 million through June 30, 2025, and to $3.12 million for each quarterly payment thereafter through maturity.</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June 30, 2025, the Company had borrowings of $187.2 million and a total of $3.1 million of letters of credit outstanding under the Credit Agreement. The Company has capitalized costs associated with debt modifications of $0.7 million as of June 30, 2025, which is included in Other Assets on the Unaudited Condensed Consolidated Balance Sheets and will be amortized into interest expense over the remaining term of the Credit Agreement through July 30, 2027.</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June 30, 2025, the Company was in compliance with the terms and covenants of the Credit Agreement. The Company continuously monitors compliance with the covenants contained in the Credit Agreement. The Company believes that it is probable that the Company will be able to comply with the financial covenants in the Credit Agreement and that sufficient credit remains available under the Credit Agreement to meet the Company's liquidity needs. However, such matters cannot be predicted with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debt</w:t>
      </w:r>
    </w:p>
    <w:p>
      <w:pPr>
        <w:spacing w:after="0" w:line="25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Company's other debt includes bank financing provided at the local subsidiary level used to support working capital requirements and fund capital expenditures. At June 30, 2025, there was an aggregate of approximately $2.3 million outstanding, payable at various times through 2030. Monthly payments range from $0.7 thousand to $16.9 thousand and interest rates range from 0.4% to 3.5%.</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7"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color w:val="auto"/>
        </w:rPr>
        <w:t xml:space="preserve">The Company performs fair value measurements in accordance with the guidance provided by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measured at fair value on a recurring basis</w:t>
      </w:r>
    </w:p>
    <w:p>
      <w:pPr>
        <w:spacing w:after="0" w:line="229"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The Company has evaluated current market conditions and borrower credit quality and has determined that the carrying value of its long-term debt approximates fair value. The fair value of the Company’s notes payable and finance lease obligations approximates their carrying amounts based on anticipated interest rates which management believes would currently be available to the Company for similar issuances of debt.</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Government Investigations</w:t>
      </w:r>
    </w:p>
    <w:p>
      <w:pPr>
        <w:spacing w:after="0" w:line="2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Company is periodically involved in lawsuits, investigations and claims. While uncertainties exist with respect to the ultimate resolution of lawsuits, investigations and claims asserted against it, the Company, based on currently available information, does not believe that any currently pending or threatened legal proceeding to which the Company is a party, or is likely to become a party, including those proceedings identified in this Note 13, will have a material adverse effect on its business, results of operations, cash flows or financial condition. The costs incurred by the Company to defend lawsuits, investigations and claims and amounts the Company pays to other parties because of these matters may be covered by insurance in some circumstances.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 and Commercial Claims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and a subsidiary of the Company, Mistras Arizona Inspection Services LLC (“Mistras Arizona”), are subject to a lawsuit filed by the State of Arizona and the Arizona Department of Environmental Quality (collectively “DEQ”). The lawsuit, captioned State of Arizona v. Mistras Group, Inc., Mistras Arizona Inspection Services, LLC and Naiman Phoenix, Ltd., was originally filed on February 27, 2024, in the Superior Court of the State of Arizona for Maricopa County, CV 2024-003866 (the "DEQ Complaint"). The DEQ Complaint alleges various violations of Arizona environmental laws and regulations by the Company and Mistras Arizona in connection with the operation by Mistras Arizona of its testing facility in Phoenix, Arizona. The DEQ Complaint seeks, through injunctive relief, the closing of a chromic acid plating line at the testing facility, implementation of a site assessment plan approved by the DEQ, and corrective and remedial action to bring the testing facility into compliance with laws and regulations. In addition, the DEQ Complaint seeks unspecified penalties and costs.</w:t>
      </w: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Superior Court held a hearing September 2024 regarding the DEQ’s request for a preliminary injunction. On October 23, 2024, the Superior Court issued a ruling, which declined to issue the preliminary injunction requested by the DEQ, but imposed the following conditions on the Company and Mistras Arizona unless and until modified by the Superior Court or entry of a final judgement: (1) the Company and Mistras Arizona are prohibited from releasing or permitting any release of chromic acid from the facility; (2) within a reasonable time, the Company and Mistras Arizona must complete improvements to the testing facility designed to prevent future discharges of chromium or chromic acid; (3) the Company must notify the DEQ upon completion of the improvement to enable the DEQ to conduct an inspection; and (4) the Company and Mistras Arizona are prohibited from engaging in any chrome plating operations at the testing facility until they notify the DEQ that the improvements have been completed. The DEQ may seek relief if it determines that the improvements are not sufficient to prevent discharges. In April 2025, Mistras Arizona notified the DEQ of its completed improvements, and the DEQ inspected the improvements. Following the DEQ site visit, Mistras Arizona commenced its chrome plating operations on April 28, 2025.</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intends to continue complying with the Superior Court's ruling. This matter is still in the relatively early stages, including as to factual and expert discovery. It is probable that remediation costs, fines and penalties may be imposed related to this lawsuit. However, the Company is unable to estimate the range of loss that it may incur.</w:t>
      </w:r>
    </w:p>
    <w:p>
      <w:pPr>
        <w:spacing w:after="0" w:line="20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Mistras Arizona’s operations in Phoenix are located at a leased site within the footprint of the Motorola 52nd Street Superfund Site (the “Motorola Site”). Mistras Arizona received a General Notice Letter from the US Environmental Protection Agency (the "EPA"), dated May 21, 2024, informing Mistras Arizona that the EPA has identified it as a potentially responsible party in relation to the Motorola Site. On April 29, 2025, the Company received a notice from the EPA requesting information regarding the improvements and other matters related to Phoenix testing facility. Mistras Arizona provided the EPA with the requested information in July 2025.</w:t>
      </w:r>
    </w:p>
    <w:p>
      <w:pPr>
        <w:spacing w:after="0" w:line="21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it relates to this lawsuit, the recorded probable losses remain an estimate, and actual costs arising from this matter could materially differ depending on the actual costs incurred as well as the availability of additional insurance coverage.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Related Contingencies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the Company’s subsidiaries had significant reductions in their unionized workers in 2018. The collective bargaining agreements for the</w:t>
      </w:r>
    </w:p>
    <w:p>
      <w:pPr>
        <w:spacing w:after="0" w:line="5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7"/>
          <w:szCs w:val="17"/>
          <w:color w:val="auto"/>
        </w:rPr>
        <w:t>employees of these subsidiaries required contributions for these employees to two national multi-employer pension funds. The reduction in employees resulted in one of the Company's subsidiaries incurring a complete withdrawal to one of the pension funds under the Employee Retirement Income Security</w:t>
      </w:r>
    </w:p>
    <w:p>
      <w:pPr>
        <w:ind w:right="380"/>
        <w:spacing w:after="0" w:line="274" w:lineRule="auto"/>
        <w:rPr>
          <w:sz w:val="20"/>
          <w:szCs w:val="20"/>
          <w:color w:val="auto"/>
        </w:rPr>
      </w:pPr>
      <w:r>
        <w:rPr>
          <w:rFonts w:ascii="Times New Roman" w:cs="Times New Roman" w:eastAsia="Times New Roman" w:hAnsi="Times New Roman"/>
          <w:sz w:val="18"/>
          <w:szCs w:val="18"/>
          <w:color w:val="auto"/>
        </w:rPr>
        <w:t>Act of 1974 ("ERISA"), which was fully satisfied in 2019. The Company has determined that the subsidiary is likely to incur partial or complete withdrawal liability to the other pension fund. The balance of the estimated total amount of this potential liability as of June 30, 2025 is approximately $2.5 million, which were incurred in 2018 and 2019.</w:t>
      </w:r>
    </w:p>
    <w:p>
      <w:pPr>
        <w:spacing w:after="0" w:line="19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Segment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three operating segments, which are also the Company's reportable segments, are:</w:t>
      </w:r>
    </w:p>
    <w:p>
      <w:pPr>
        <w:spacing w:after="0" w:line="223" w:lineRule="exact"/>
        <w:rPr>
          <w:sz w:val="20"/>
          <w:szCs w:val="20"/>
          <w:color w:val="auto"/>
        </w:rPr>
      </w:pPr>
    </w:p>
    <w:p>
      <w:pPr>
        <w:ind w:left="900" w:right="40" w:hanging="244"/>
        <w:spacing w:after="0" w:line="261" w:lineRule="auto"/>
        <w:tabs>
          <w:tab w:leader="none" w:pos="89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This segment provides asset protection solutions predominantly in North America, with the largest concentration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179" w:lineRule="exact"/>
        <w:rPr>
          <w:rFonts w:ascii="Times New Roman" w:cs="Times New Roman" w:eastAsia="Times New Roman" w:hAnsi="Times New Roman"/>
          <w:sz w:val="18"/>
          <w:szCs w:val="18"/>
          <w:i w:val="1"/>
          <w:iCs w:val="1"/>
          <w:color w:val="auto"/>
        </w:rPr>
      </w:pPr>
    </w:p>
    <w:p>
      <w:pPr>
        <w:ind w:left="900" w:right="160" w:hanging="244"/>
        <w:spacing w:after="0" w:line="267"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This segment offers services, products and systems similar to those of the other segments to select markets within Europe,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Middle East, Africa, Asia and South America, but not to customers in China and South Korea, which are served by the Products and Systems segment.</w:t>
      </w:r>
    </w:p>
    <w:p>
      <w:pPr>
        <w:spacing w:after="0" w:line="173" w:lineRule="exact"/>
        <w:rPr>
          <w:rFonts w:ascii="Times New Roman" w:cs="Times New Roman" w:eastAsia="Times New Roman" w:hAnsi="Times New Roman"/>
          <w:sz w:val="18"/>
          <w:szCs w:val="18"/>
          <w:color w:val="auto"/>
        </w:rPr>
      </w:pPr>
    </w:p>
    <w:p>
      <w:pPr>
        <w:ind w:left="900" w:right="180" w:hanging="244"/>
        <w:spacing w:after="0" w:line="284"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This segment designs, manufactures, sells, installs and services the Company’s asset protection products and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equipment and instrumentation, predominantly in the United States.</w:t>
      </w:r>
    </w:p>
    <w:p>
      <w:pPr>
        <w:spacing w:after="0" w:line="16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North America and International segments by the Products and Systems segment are reflected in the operating performance of each segment.</w:t>
      </w:r>
    </w:p>
    <w:p>
      <w:pPr>
        <w:spacing w:after="0" w:line="20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chief operating decision maker ("CODM") reviews financial information at the operating segment level to allocate resources and to assess the operating results and financial performance for each operating segment. For the year ended December 31, 2024, our CODM was identified as Manny Stamatakis, the Interim Chief Executive Officer, because he has final authority over performance assessment and resource allocation decisions. Beginning January 1, 2025, our CODM was identified as Natalia Shuman, upon her appointment as our Chief Executive Officer effective January 1, 2025, as she has final authority over performance assessment and resource allocation decisions. Our segments are based on the type and concentration of customers served, service requirements, methods of distribution and major product lines.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spacing w:after="0" w:line="30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Segment income (loss) from operations is the primary performance measure used by the CODM to evaluate segment performance and allocate resources, including considering budget-to-actual variances and prior year-to-actual variances on a monthly basis in accordance with GAAP under ASC 280, Segment Reporting. Segment income (loss) from operations for each of the Company's reportable segments are comprised of revenue, selling, general &amp; administrative expenses, and "other expenses." "Other expenses" include cost of revenue, bad debt provision for troubled customers, goodwill impairment charges, reorganization and environmental costs, legal settlements and recoveries, acquisition-related expenses, depreciation and amortization and research and engineering.</w:t>
      </w:r>
    </w:p>
    <w:p>
      <w:pPr>
        <w:spacing w:after="0" w:line="21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Corporate and other assets are comprised principally of cash, deposits, property, plant and equipment, domestic deferred taxes, deferred charges and other assets. Corporate loss from operations consists of administrative charges related to corporate personnel and other charges that cannot be readily identified for allocation to a particular segment. These items of our operating profit are managed centrally at the corporate level and are excluded from the measure of segment income reviewed by the CODM, as well as the measure of segment performance used for incentive compensation purposes.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accounting policies of the reportable segments are the same as those described in Note 1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Description of Business and Basis of Presentation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8"/>
          <w:szCs w:val="18"/>
          <w:color w:val="auto"/>
        </w:rPr>
        <w:t>Selected consolidated financial information by segment for the periods shown was as follows. Income (loss) from operations by operating segment includes intercompany transactions, which are eliminated in Corporate and eliminations</w:t>
      </w:r>
      <w:r>
        <w:rPr>
          <w:rFonts w:ascii="Times New Roman" w:cs="Times New Roman" w:eastAsia="Times New Roman" w:hAnsi="Times New Roman"/>
          <w:sz w:val="21"/>
          <w:szCs w:val="21"/>
          <w:color w:val="008080"/>
        </w:rPr>
        <w:t>.</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2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Products and</w:t>
            </w:r>
          </w:p>
        </w:tc>
        <w:tc>
          <w:tcPr>
            <w:tcW w:w="1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1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2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147,992</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39,077</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189,809</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185,405</w:t>
            </w:r>
          </w:p>
        </w:tc>
        <w:tc>
          <w:tcPr>
            <w:tcW w:w="0" w:type="dxa"/>
            <w:vAlign w:val="bottom"/>
          </w:tcPr>
          <w:p>
            <w:pPr>
              <w:spacing w:after="0"/>
              <w:rPr>
                <w:sz w:val="1"/>
                <w:szCs w:val="1"/>
                <w:color w:val="auto"/>
              </w:rPr>
            </w:pPr>
          </w:p>
        </w:tc>
      </w:tr>
      <w:tr>
        <w:trPr>
          <w:trHeight w:val="184"/>
        </w:trPr>
        <w:tc>
          <w:tcPr>
            <w:tcW w:w="28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Selling, general &amp; administrative</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39,793</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110,290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137,184</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2024</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8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2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Products and</w:t>
            </w:r>
          </w:p>
        </w:tc>
        <w:tc>
          <w:tcPr>
            <w:tcW w:w="1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1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2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156,394</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34,264</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194,031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189,773</w:t>
            </w:r>
          </w:p>
        </w:tc>
        <w:tc>
          <w:tcPr>
            <w:tcW w:w="0" w:type="dxa"/>
            <w:vAlign w:val="bottom"/>
          </w:tcPr>
          <w:p>
            <w:pPr>
              <w:spacing w:after="0"/>
              <w:rPr>
                <w:sz w:val="1"/>
                <w:szCs w:val="1"/>
                <w:color w:val="auto"/>
              </w:rPr>
            </w:pPr>
          </w:p>
        </w:tc>
      </w:tr>
      <w:tr>
        <w:trPr>
          <w:trHeight w:val="176"/>
        </w:trPr>
        <w:tc>
          <w:tcPr>
            <w:tcW w:w="2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&amp; administrative</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36,181</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118,404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141,633</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2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Products and</w:t>
            </w:r>
          </w:p>
        </w:tc>
        <w:tc>
          <w:tcPr>
            <w:tcW w:w="1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1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2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276,894</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72,291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355,016</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(7,996)</w:t>
            </w: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347,020</w:t>
            </w:r>
          </w:p>
        </w:tc>
        <w:tc>
          <w:tcPr>
            <w:tcW w:w="0" w:type="dxa"/>
            <w:vAlign w:val="bottom"/>
          </w:tcPr>
          <w:p>
            <w:pPr>
              <w:spacing w:after="0"/>
              <w:rPr>
                <w:sz w:val="1"/>
                <w:szCs w:val="1"/>
                <w:color w:val="auto"/>
              </w:rPr>
            </w:pPr>
          </w:p>
        </w:tc>
      </w:tr>
      <w:tr>
        <w:trPr>
          <w:trHeight w:val="176"/>
        </w:trPr>
        <w:tc>
          <w:tcPr>
            <w:tcW w:w="2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&amp; administrative</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75,445</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211,938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264,159</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For the six months ended June 30, 2024</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8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Products and</w:t>
            </w:r>
          </w:p>
        </w:tc>
        <w:tc>
          <w:tcPr>
            <w:tcW w:w="1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1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306,743</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67,311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380,637</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374,215</w:t>
            </w:r>
          </w:p>
        </w:tc>
        <w:tc>
          <w:tcPr>
            <w:tcW w:w="0" w:type="dxa"/>
            <w:vAlign w:val="bottom"/>
          </w:tcPr>
          <w:p>
            <w:pPr>
              <w:spacing w:after="0"/>
              <w:rPr>
                <w:sz w:val="1"/>
                <w:szCs w:val="1"/>
                <w:color w:val="auto"/>
              </w:rPr>
            </w:pPr>
          </w:p>
        </w:tc>
      </w:tr>
      <w:tr>
        <w:trPr>
          <w:trHeight w:val="176"/>
        </w:trPr>
        <w:tc>
          <w:tcPr>
            <w:tcW w:w="2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&amp; administrative</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72,431</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235,185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284,273</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tables above only reconcile to income (loss) from operations as our measure of segment profitability and the remainder of the reconciliation to net income (loss) can be seen on the Unaudited Condensed Consolidated Statement of Income (Loss). Products and Systems segment revenue was comprised of approximately $0.5 million and $1.0 million of sales to the International segment, which were eliminated upon consolidation, for the three months ended June 30, 2025 and June 30, 2024, respectively. Products and Systems segment revenue was comprised of approximately $1.5 million and $1.8 million of sales to the International segment, which were eliminated upon consolidation, for the six months ended June 30, 2025 and June 30, 2024, respectively. Intersegment revenue related to sales between other segments was immaterial for each of the three and six month periods ended June 30, 2025 and June 30, 2024.</w:t>
      </w:r>
    </w:p>
    <w:p>
      <w:pPr>
        <w:spacing w:after="0" w:line="21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Selected consolidated financial information by segment for the periods shown was as follows: (with intercompany transactions eliminated in Corporate and eliminations):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30,869</w:t>
            </w: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390,052</w:t>
            </w: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97,546</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11,280</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24,160</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523,038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1"/>
        </w:trPr>
        <w:tc>
          <w:tcPr>
            <w:tcW w:w="8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24"/>
                <w:szCs w:val="24"/>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268,608</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24,822</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302,042</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2 - </w:t>
      </w: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revenue by geographic area for the three and six months ended June 30,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Management’s Discussion and Analysis (“MD&amp;A”) provides a discussion of our results of operations and financial position for the three and six months ended June 30, 2025 and 2024. The MD&amp;A should be read together with our Unaudited Condensed Consolidated Financial Statements and related notes included in Item 1 in this Quarterly Report on Form 10-Q (the "Quarterly Report") and our audited consolidated financial statements and related notes included in our 2024 Annual Report. Unless otherwise specified or the context otherwise requires, “Mistras,” “the Company,” “we,” “us” and “our” refer to Mistras Group, Inc. and its consolidated subsidiaries. The MD&amp;A includes the following sections:</w:t>
      </w:r>
    </w:p>
    <w:p>
      <w:pPr>
        <w:spacing w:after="0" w:line="183"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Overview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about Non-GAAP Measures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various risks, uncertainties or other factors known and unknown. Factors that could cause or contribute to differences in results and outcomes from those in our forward-looking statements, including any impacts from the imposition of tariffs or other trade restrictions, changes to the</w:t>
      </w:r>
    </w:p>
    <w:p>
      <w:pPr>
        <w:spacing w:after="0" w:line="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U.S. trade policy and impacts from the implementation of our new ERP (as defined below) system, include, without limitation, those discussed in the “Business—Forward-Looking Statements,” and “Risk Factors” sections of our 2024 Annual Report as well as those discussed in this Quarterly Report and in our other filings with the SEC. In addition, there are various developments discussed below which could create risks and uncertainty about our business, results of operations or liquidity.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are a leading "one source" multinational provider of integrated technology-enabled asset protection solutions, helping to maximize the safety and operational uptime for civilization’s most critical industrial and civil assets.</w:t>
      </w:r>
    </w:p>
    <w:p>
      <w:pPr>
        <w:spacing w:after="0" w:line="18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Backed by an innovative, data-driven asset protection portfolio, proprietary technologies, and a decades-long legacy of industry leadership, the Company helps customers with asset-intensive infrastructure in the oil and gas, aerospace and defense, industrials, power generation and transmission (including alternative and renewable energy), other process industries and infrastructure, research and engineering and other industries towards achieving and maintaining operational excellence. By supporting these organizations that help fuel our vehicles and power our society; inspecting components that are trusted for commercial, defense, and space craft; building real-time monitoring equipment to enable safe travel across bridges; and helping to propel sustainability, the Company helps the world at large.</w:t>
      </w:r>
    </w:p>
    <w:p>
      <w:pPr>
        <w:spacing w:after="0" w:line="201"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The Company enhances value for its clients by integrating asset protection throughout supply chains and centralizing integrity data through a suite of Industrial Internet of Things ("IoT")-connected digital software and monitoring solutions, including OneSuite™, which serves as an ecosystem platform, pulling together all of the Company’s software and data services capabilities, for the benefit of its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6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core capabilities also include non-destructive testing (“NDT”) field inspections enhanced by advanced robotics, laboratory quality control and assurance testing, sensing technologies and NDT equipment, asset and mechanical integrity engineering services, and light mechanical maintenance and access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consist of three reportable segments: North America, International, and Products and Systems.</w:t>
      </w:r>
    </w:p>
    <w:p>
      <w:pPr>
        <w:spacing w:after="0" w:line="61" w:lineRule="exact"/>
        <w:rPr>
          <w:sz w:val="20"/>
          <w:szCs w:val="20"/>
          <w:color w:val="auto"/>
        </w:rPr>
      </w:pPr>
    </w:p>
    <w:p>
      <w:pPr>
        <w:ind w:left="660" w:hanging="328"/>
        <w:spacing w:after="0" w:line="251"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provides asset protection solutions predominantly in North America, with the largest concentration in the United States, followed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200"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offers services, products and systems similar to those of the other segments to select markets within Europe, the Middle East, Africa,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Asia and South America, but not to customers in China and South Korea, which are served by the Products and Systems segment.</w:t>
      </w:r>
    </w:p>
    <w:p>
      <w:pPr>
        <w:spacing w:after="0" w:line="185" w:lineRule="exact"/>
        <w:rPr>
          <w:rFonts w:ascii="Times New Roman" w:cs="Times New Roman" w:eastAsia="Times New Roman" w:hAnsi="Times New Roman"/>
          <w:sz w:val="18"/>
          <w:szCs w:val="18"/>
          <w:i w:val="1"/>
          <w:iCs w:val="1"/>
          <w:color w:val="auto"/>
        </w:rPr>
      </w:pPr>
    </w:p>
    <w:p>
      <w:pPr>
        <w:ind w:left="660" w:right="740" w:hanging="328"/>
        <w:spacing w:after="0" w:line="284"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designs, manufactures, sells, installs and services the Company’s asset protection products and systems,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instrumentation, predominantly in the United States.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Given the role our solutions play in enhancing the safe and efficient operation of infrastructure, we have historically provided a majority of our solutions to our customers on a regular, recurring basis. We perform these services largely at our customers’ facilities, while primarily servicing our aerospace customers at our network of state-of-the-art, in-house laboratories. These solutions typically include NDT and inspection services, and can also include a wide range of mechanical services, including heat tracing, pre-inspection insulation stripping, coating applications, re-insulation, engineering assessments and long-term condition-monitoring. Under this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companies in the oil and gas, aerospace and defense, industrials, power generation and transmission (including alternative and renewable energy), other process industries and infrastructure, research and engineering and other industries.</w:t>
      </w: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focused on providing our advanced asset protection solutions to our customers using proprietary, technology-enabled software and testing instruments, including those developed by our Products and Systems segment. We have made numerous acquisitions in the past in an effort to grow our base of experienced, certified personnel, expand our service lines and technical capabilities, increase our geographical reach, complement our existing offerings,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lines, technologies, resources and customers which we believe enhance our advantages over our competition.</w:t>
      </w:r>
    </w:p>
    <w:p>
      <w:pPr>
        <w:spacing w:after="0" w:line="21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believe long-term growth can be realized in our target markets. Our level of business and financial results are impacted by world-wide macro- and micro-economic conditions generally, as well as those within our target markets. Among other things, we expect the timing of our oil and gas customers inspection spend to be impacted by oil price fluctuations.</w:t>
      </w:r>
    </w:p>
    <w:p>
      <w:pPr>
        <w:spacing w:after="0" w:line="20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continued providing our customers with an innovative asset protection software ecosystem through our OneSuite platform. The software platform offers functions of our software and services brands as integrated apps on a cloud environment. OneSuite serves as a single access portal for customers' data activities and provides access to 90 plus applications being offered on one centralized platform.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4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cash position and liquidity remains strong. As of June 30, 2025, our cash balance was approximately $20.0 million and, with our Credit Agreement, provides us with significant liquidity.</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discussed above in Note 1 - Description of Business and Basis of Presentation, we changed the presentation of certain costs incurred at our operational labs as well as for certain lab personnel on our Unaudited Condensed Consolidated Statements of Income (Loss). This voluntary change in classification of certain overhead and personnel costs, which were determined to be directly related to the delivery of our services, resulted in a decrease in from Selling, general and administrative expenses and</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6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 offsetting increase in Cost of revenue. We believe this presentation is preferable as it will provide greater transparency regarding our cost of revenue and better align with how our business is managed.</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currently unable to predict with certainty the overall impact of continuing inflationary pressures or increased costs due to the imposition of tariffs and other trade barriers or changes to U.S. trade policy may have on its business, results of operations or liquidity or in other ways which the Company cannot yet determine. The Company’s European operations are currently experiencing higher energy costs, among other increased costs, due in part to the on-going war between Russia and Ukraine and the conflicts in the Middle East between Israel and Hamas and between Israel and Iran. The Company will continue to monitor market conditions and respond accordingly.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About Non-GAAP Measures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accordance with GAAP. In this MD&amp;A under the heading "Income (loss) from Operations", the non-GAAP financial performance measure "Income (loss) from operations before special items” is used for each of our three operating segments, the Corporate segment and the "Total Company", with tables reconciling the measure to a financial measure under GAAP. This presentation excludes from "Income (loss) from Operations" (a) transaction expenses related to acquisitions, such as professional fees and due diligence costs, (b) the net changes in the fair value of acquisition-related contingent consideration liabilities, (c) impairment charges, (d) reorganization and other costs, which includes items such as severance, labor relations matters and asset and lease termination costs and (e) other special items. These adjustments have been excluded from the GAAP measure because these expenses and credits are not related to our or any individual segment's core business operations. The acquisition related costs and special items can be a net expense or credit in any given period. Our management uses this non-GAAP measure as a measure of operating performance and liquidity to assist in comparing performance from period to period on a consistent basis, as a measure for planning and forecasting overall expectations and for evaluating actual results against such expectations. We believe investors and other users of our financial statements benefit from the presentation of this non-GAAP measure in evaluating our performance. Income (loss) before special items excludes the identified adjustments, which provides additional tools to compare our core business operating performance on a consistent basis and measure underlying trends and results in our business. Income (loss) before special items is not used to determine incentive compensation for executives or employees, nor is it a replacement for the reported GAAP financial performance and/or necessarily comparable to the non-GAAP financial measures of other companies. Any measure that eliminates the foregoing items has material limitations as a performance or liquidity measure and should not be considered alternatives to net income (loss) or any other measures derived in accordance with GAAP. Because Income (loss) from operations before special items may not be calculated in the same manner by all companies, this measure may not be comparable to other similarly titled measures used by other companies.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results of operations for the three and six months ended June 30, 2025 and 2024 were as follows: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2940" w:type="dxa"/>
            <w:vAlign w:val="bottom"/>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4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44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185,405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189,773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347,020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374,215</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0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53,945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51,340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94,837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97,492</w:t>
            </w:r>
          </w:p>
        </w:tc>
      </w:tr>
      <w:tr>
        <w:trPr>
          <w:trHeight w:val="23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Gross profit as a % of Revenue</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27.1 %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27.3 %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26.1 %</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40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8,428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11,959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7,416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17,511</w:t>
            </w:r>
          </w:p>
        </w:tc>
      </w:tr>
      <w:tr>
        <w:trPr>
          <w:trHeight w:val="23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Income from operations as a % of Revenue</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6.3 %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4.7 %</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provision (benefit) for income taxes</w:t>
            </w:r>
          </w:p>
        </w:tc>
        <w:tc>
          <w:tcPr>
            <w:tcW w:w="40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4,189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7,546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8,669</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3,126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6,373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7,377</w:t>
            </w:r>
          </w:p>
        </w:tc>
      </w:tr>
      <w:tr>
        <w:trPr>
          <w:trHeight w:val="238"/>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Mistras Group, Inc.</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3,017</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6,369</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7,364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 was $185.4 million for the three months ended June 30, 2025, a decrease of $4.4 million, or 2.3%, compared with the three months ended June 30,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segment for the three and six months ended June 30, 2025 and 2024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38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9"/>
        </w:trPr>
        <w:tc>
          <w:tcPr>
            <w:tcW w:w="5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5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306,743</w:t>
            </w:r>
          </w:p>
        </w:tc>
      </w:tr>
      <w:tr>
        <w:trPr>
          <w:trHeight w:val="229"/>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67,311</w:t>
            </w:r>
          </w:p>
        </w:tc>
      </w:tr>
      <w:tr>
        <w:trPr>
          <w:trHeight w:val="230"/>
        </w:trPr>
        <w:tc>
          <w:tcPr>
            <w:tcW w:w="5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w:t>
            </w:r>
          </w:p>
        </w:tc>
      </w:tr>
      <w:tr>
        <w:trPr>
          <w:trHeight w:val="229"/>
        </w:trPr>
        <w:tc>
          <w:tcPr>
            <w:tcW w:w="5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(6,422)</w:t>
            </w: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374,215</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5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the three months ended June 30, 2025, total revenue decreased 2.3% versus the prior year comparable period due predominantly to a low single-digit organic decrease driven by voluntary laboratory consolidations. North America segment revenue decreased 5.4%, driven predominantly by a decrease in our Oil and Gas market revenue and declines in demand in other key markets due to macroeconomic factors such as uncertainties driven by continuing inflationary pressures and increased costs due to the imposition of tariffs. International segment revenue increased 14.0%, due predominantly to high single-digit organic growth and mid-single-digit favorable impact of foreign exchange rates. Products and Systems segment revenue decreased by 18.8%, due to decreased sales volume and shipments as compared to the prior year comparable period.</w:t>
      </w:r>
    </w:p>
    <w:p>
      <w:pPr>
        <w:spacing w:after="0" w:line="21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Oil and gas customer revenue comprised approximately 55% and 58% of total revenue for the three months ended June 30, 2025 and 2024, respectively. Aerospace and defense customer revenue comprised approximately 13% and 12% of total revenue for the three months ended June 30, 2025 and 2024, respectively. The Company’s top ten customers comprised approximately 35% of total revenue for the three months ended June 30, 2025, as compared to 35% for the three months ended June 30, 2024, with no customer accounting for 10% or more of total revenue in either three-month period.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w:t>
      </w:r>
    </w:p>
    <w:p>
      <w:pPr>
        <w:spacing w:after="0" w:line="2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the six months ended June 30, 2025, total revenue decreased 7.3% versus the prior year comparable period due predominantly to a high single-digit organic decrease. North America segment revenue decreased 9.7%, driven predominantly by a decrease in our Oil and Gas market revenue and declines in demand in other key markets due to macroeconomic factors such as uncertainties driven by continuing inflationary pressures and increased costs due to the imposition of tariffs. International segment revenue increased 7.4%, due predominantly to mid-single-digit organic growth and low single-digit favorable impact of foreign exchange rates. Products and Systems segment revenue decreased by 11.4%, due to decreased sales volume and shipments as compared to the prior year comparable period.</w:t>
      </w:r>
    </w:p>
    <w:p>
      <w:pPr>
        <w:spacing w:after="0" w:line="21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Oil and gas customer revenue comprised approximately 57% and 59% of total revenue for the six months ended June 30, 2025 and 2024, respectively. Aerospace and defense customer revenue comprised approximately 13% and 12% of total revenue for the six months ended June 30, 2025 and 2024, respectively. The Company’s top ten customers comprised approximately 37% of total revenue for the six months ended June 30, 2025, as compared to 35% for the six months ended June 30, 2024, with no customer accounting for 10% or more of total revenue in either six-month period.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6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has retrospectively reclassified certain Oil and Gas sub-category revenues for each quarterly period in 2024 and the first quarter of 2025 in order to conform the classification with the current period presentation. Total Oil and Gas sub-category revenues were unchanged in total in each quarterly period and for the full year ended December 31, 2024 and for the quarter ended March 31, 2025. The table below presents the reclassified balances for each quarterly period in the prior year and the first quarter of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7"/>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2024 Quarterly Revenues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20" w:type="dxa"/>
            <w:vAlign w:val="bottom"/>
          </w:tcPr>
          <w:p>
            <w:pPr>
              <w:spacing w:after="0"/>
              <w:rPr>
                <w:sz w:val="11"/>
                <w:szCs w:val="11"/>
                <w:color w:val="auto"/>
              </w:rPr>
            </w:pPr>
          </w:p>
        </w:tc>
        <w:tc>
          <w:tcPr>
            <w:tcW w:w="182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60" w:type="dxa"/>
            <w:vAlign w:val="bottom"/>
          </w:tcPr>
          <w:p>
            <w:pPr>
              <w:spacing w:after="0"/>
              <w:rPr>
                <w:sz w:val="11"/>
                <w:szCs w:val="11"/>
                <w:color w:val="auto"/>
              </w:rPr>
            </w:pPr>
          </w:p>
        </w:tc>
        <w:tc>
          <w:tcPr>
            <w:tcW w:w="19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 w:type="dxa"/>
            <w:vAlign w:val="bottom"/>
          </w:tcPr>
          <w:p>
            <w:pPr>
              <w:spacing w:after="0"/>
              <w:rPr>
                <w:sz w:val="11"/>
                <w:szCs w:val="11"/>
                <w:color w:val="auto"/>
              </w:rPr>
            </w:pPr>
          </w:p>
        </w:tc>
        <w:tc>
          <w:tcPr>
            <w:tcW w:w="1960" w:type="dxa"/>
            <w:vAlign w:val="bottom"/>
            <w:gridSpan w:val="6"/>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1"/>
                <w:szCs w:val="11"/>
                <w:color w:val="auto"/>
              </w:rPr>
            </w:pPr>
          </w:p>
        </w:tc>
        <w:tc>
          <w:tcPr>
            <w:tcW w:w="1640" w:type="dxa"/>
            <w:vAlign w:val="bottom"/>
            <w:gridSpan w:val="3"/>
          </w:tcPr>
          <w:p>
            <w:pPr>
              <w:jc w:val="right"/>
              <w:ind w:right="214"/>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4"/>
        </w:trPr>
        <w:tc>
          <w:tcPr>
            <w:tcW w:w="3620" w:type="dxa"/>
            <w:vAlign w:val="bottom"/>
          </w:tcPr>
          <w:p>
            <w:pPr>
              <w:spacing w:after="0"/>
              <w:rPr>
                <w:sz w:val="16"/>
                <w:szCs w:val="16"/>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31,</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00" w:type="dxa"/>
            <w:vAlign w:val="bottom"/>
            <w:gridSpan w:val="5"/>
            <w:vMerge w:val="continue"/>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8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Oil and Gas Revenue by sub-category</w:t>
            </w:r>
          </w:p>
        </w:tc>
        <w:tc>
          <w:tcPr>
            <w:tcW w:w="10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Upstream</w:t>
            </w: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39,514</w:t>
            </w:r>
          </w:p>
        </w:tc>
        <w:tc>
          <w:tcPr>
            <w:tcW w:w="9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41,013</w:t>
            </w:r>
          </w:p>
        </w:tc>
        <w:tc>
          <w:tcPr>
            <w:tcW w:w="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36,753</w:t>
            </w:r>
          </w:p>
        </w:tc>
        <w:tc>
          <w:tcPr>
            <w:tcW w:w="0" w:type="dxa"/>
            <w:vAlign w:val="bottom"/>
          </w:tcPr>
          <w:p>
            <w:pPr>
              <w:spacing w:after="0"/>
              <w:rPr>
                <w:sz w:val="1"/>
                <w:szCs w:val="1"/>
                <w:color w:val="auto"/>
              </w:rPr>
            </w:pPr>
          </w:p>
        </w:tc>
      </w:tr>
      <w:tr>
        <w:trPr>
          <w:trHeight w:val="230"/>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Midstream</w:t>
            </w:r>
          </w:p>
        </w:tc>
        <w:tc>
          <w:tcPr>
            <w:tcW w:w="1060" w:type="dxa"/>
            <w:vAlign w:val="bottom"/>
          </w:tcPr>
          <w:p>
            <w:pPr>
              <w:spacing w:after="0"/>
              <w:rPr>
                <w:sz w:val="19"/>
                <w:szCs w:val="19"/>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18,533</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20,033</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Downstream</w:t>
            </w:r>
          </w:p>
        </w:tc>
        <w:tc>
          <w:tcPr>
            <w:tcW w:w="10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55,118</w:t>
            </w:r>
          </w:p>
        </w:tc>
        <w:tc>
          <w:tcPr>
            <w:tcW w:w="6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40,212</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113,165</w:t>
            </w:r>
          </w:p>
        </w:tc>
        <w:tc>
          <w:tcPr>
            <w:tcW w:w="60" w:type="dxa"/>
            <w:vAlign w:val="bottom"/>
          </w:tcPr>
          <w:p>
            <w:pPr>
              <w:spacing w:after="0"/>
              <w:rPr>
                <w:sz w:val="19"/>
                <w:szCs w:val="19"/>
                <w:color w:val="auto"/>
              </w:rPr>
            </w:pP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109,256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99,503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96,998</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3620" w:type="dxa"/>
            <w:vAlign w:val="bottom"/>
          </w:tcPr>
          <w:p>
            <w:pPr>
              <w:spacing w:after="0"/>
              <w:rPr>
                <w:sz w:val="24"/>
                <w:szCs w:val="24"/>
                <w:color w:val="auto"/>
              </w:rPr>
            </w:pPr>
          </w:p>
        </w:tc>
        <w:tc>
          <w:tcPr>
            <w:tcW w:w="1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2025 Quarterly Revenues</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620" w:type="dxa"/>
            <w:vAlign w:val="bottom"/>
          </w:tcPr>
          <w:p>
            <w:pPr>
              <w:spacing w:after="0"/>
              <w:rPr>
                <w:sz w:val="11"/>
                <w:szCs w:val="11"/>
                <w:color w:val="auto"/>
              </w:rPr>
            </w:pPr>
          </w:p>
        </w:tc>
        <w:tc>
          <w:tcPr>
            <w:tcW w:w="182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1060" w:type="dxa"/>
            <w:vAlign w:val="bottom"/>
            <w:tcBorders>
              <w:bottom w:val="single" w:sz="8" w:color="auto"/>
            </w:tcBorders>
          </w:tcPr>
          <w:p>
            <w:pPr>
              <w:jc w:val="center"/>
              <w:ind w:left="680"/>
              <w:spacing w:after="0"/>
              <w:rPr>
                <w:sz w:val="20"/>
                <w:szCs w:val="20"/>
                <w:color w:val="auto"/>
              </w:rPr>
            </w:pPr>
            <w:r>
              <w:rPr>
                <w:rFonts w:ascii="Times New Roman" w:cs="Times New Roman" w:eastAsia="Times New Roman" w:hAnsi="Times New Roman"/>
                <w:sz w:val="14"/>
                <w:szCs w:val="14"/>
                <w:b w:val="1"/>
                <w:bCs w:val="1"/>
                <w:color w:val="auto"/>
              </w:rPr>
              <w:t>31,</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Oil and Gas Revenue by sub-category</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Upstream</w:t>
            </w: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36,820</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Midstream</w:t>
            </w:r>
          </w:p>
        </w:tc>
        <w:tc>
          <w:tcPr>
            <w:tcW w:w="1060" w:type="dxa"/>
            <w:vAlign w:val="bottom"/>
          </w:tcPr>
          <w:p>
            <w:pPr>
              <w:spacing w:after="0"/>
              <w:rPr>
                <w:sz w:val="19"/>
                <w:szCs w:val="19"/>
                <w:color w:val="auto"/>
              </w:rPr>
            </w:pP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15,341</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Downstream</w:t>
            </w:r>
          </w:p>
        </w:tc>
        <w:tc>
          <w:tcPr>
            <w:tcW w:w="10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44,403</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96,564</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60" w:type="dxa"/>
            <w:vAlign w:val="bottom"/>
            <w:gridSpan w:val="6"/>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80" w:type="dxa"/>
            <w:vAlign w:val="bottom"/>
            <w:gridSpan w:val="6"/>
            <w:vMerge w:val="restart"/>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80"/>
        </w:trPr>
        <w:tc>
          <w:tcPr>
            <w:tcW w:w="3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60" w:type="dxa"/>
            <w:vAlign w:val="bottom"/>
            <w:gridSpan w:val="6"/>
            <w:vMerge w:val="continue"/>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80" w:type="dxa"/>
            <w:vAlign w:val="bottom"/>
            <w:gridSpan w:val="6"/>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Oil and Gas Revenue by sub-category</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Upstream</w:t>
            </w:r>
          </w:p>
        </w:tc>
        <w:tc>
          <w:tcPr>
            <w:tcW w:w="106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41,013</w:t>
            </w:r>
          </w:p>
        </w:tc>
        <w:tc>
          <w:tcPr>
            <w:tcW w:w="54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80,527</w:t>
            </w:r>
          </w:p>
        </w:tc>
        <w:tc>
          <w:tcPr>
            <w:tcW w:w="0" w:type="dxa"/>
            <w:vAlign w:val="bottom"/>
          </w:tcPr>
          <w:p>
            <w:pPr>
              <w:spacing w:after="0"/>
              <w:rPr>
                <w:sz w:val="1"/>
                <w:szCs w:val="1"/>
                <w:color w:val="auto"/>
              </w:rPr>
            </w:pPr>
          </w:p>
        </w:tc>
      </w:tr>
      <w:tr>
        <w:trPr>
          <w:trHeight w:val="230"/>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Midstream</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20,786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33,916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39,319</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Downstream</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tcBorders>
              <w:bottom w:val="single" w:sz="8" w:color="auto"/>
              <w:right w:val="single" w:sz="8" w:color="CCEEFF"/>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102,575</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102,816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109,256</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199,380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222,421</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-3479800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-3256915</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-3110865</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-3110865</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-2125345</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-1902460</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-1756410</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Oil and gas upstream customer revenue decreased approximately $5.5 million, or 7%, for the six months ended June 30, 2025 as compared to the six months ended June 30, 2024, and $2.8 million, or 7%, for the three months ended June 30, 2025 as compared to the three months ended June 30, 2024, due primarily to market share losses and decreased exploration activity as compared to the prior year comparable period.</w:t>
      </w:r>
    </w:p>
    <w:p>
      <w:pPr>
        <w:spacing w:after="0" w:line="20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Midstream customer revenues decreased approximately $5.4 million, or 14%, for the six months ended June 30, 2025 as compared to the six months ended June 30, 2024, and $2.2 million, or 11%, for the three months ended June 30, 2025 as compared to the three months ended June 30, 2024, due to decreased pipe inspection services as compared to the prior year comparable period.</w:t>
      </w:r>
    </w:p>
    <w:p>
      <w:pPr>
        <w:spacing w:after="0" w:line="20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Downstream customer revenue decreased $12.1 million, or 12%, for the six months ended June 30, 2025 as compared to the six months ended June 30, 2024, and $1.4 million, or 3%, for the three months ended June 30, 2025 as compared to the three months ended June 30, 2024, primarily due to decreased customer turnarounds in the current year that were delayed in the prior year comparable period.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80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9"/>
        </w:trPr>
        <w:tc>
          <w:tcPr>
            <w:tcW w:w="48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type</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6"/>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Services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123,484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134,528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233,659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260,883</w:t>
            </w:r>
          </w:p>
        </w:tc>
      </w:tr>
      <w:tr>
        <w:trPr>
          <w:trHeight w:val="229"/>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Shop Laboratories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34,133</w:t>
            </w:r>
          </w:p>
        </w:tc>
      </w:tr>
      <w:tr>
        <w:trPr>
          <w:trHeight w:val="23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Data Analytical Solutions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33,881</w:t>
            </w:r>
          </w:p>
        </w:tc>
      </w:tr>
      <w:tr>
        <w:trPr>
          <w:trHeight w:val="229"/>
        </w:trPr>
        <w:tc>
          <w:tcPr>
            <w:tcW w:w="4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45,318</w:t>
            </w: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374,215</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presenting the allocation of revenue by type in the table above, management makes certain assumptions in its allocation of revenue from laboratories that provide more than one type of service. The allocation methodology and assumptions made are consistent for the years presented.</w:t>
      </w:r>
    </w:p>
    <w:p>
      <w:pPr>
        <w:spacing w:after="0" w:line="18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Field Services revenue is comprised of revenue derived primarily by technicians performing asset inspections and maintenance services for our customers at locations other than Mistras properties. Field Services revenue decreased by $11.0 million for the three months ended June 30, 2025 as compared to the three months ended June 30, 2024 and decreased by $27.2 million for the six months ended June 30, 2025 as compared to the six months ended June 30, 2024, primarily due to decreases in sales volume in our oil and gas, industrials and infrastructure, research and engineering end markets within our North America segment and oil and gas end market within our International segment.</w:t>
      </w:r>
    </w:p>
    <w:p>
      <w:pPr>
        <w:spacing w:after="0" w:line="204"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Shop Laboratory revenue is comprised of quality assurance inspections of components and materials at our Mistras in-house laboratory facilities. Shop Laboratory revenue decreased by $1.3 million for the three months ended June 30, 2025 as compared to the three months ended June 30, 2024 and decreased by $3.4 million for the six months ended June 30, 2025 as compared to the six months ended June 30, 2024, primarily due to decreased sales volumes in our aerospace and defense end market in our North America and International segments.</w:t>
      </w:r>
    </w:p>
    <w:p>
      <w:pPr>
        <w:spacing w:after="0" w:line="204"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Data Analytical Solutions revenue is comprised of revenue derived from data software sales &amp; subscriptions, implementation services and analytics which offer insights and generate value from asset protection. Data Analytical Solutions revenue is derived from work performed by our employees in our facilities, or at customer locations. Data Analytical Solutions revenue remained flat for the three months ended June 30, 2025 as compared to the prior year comparable period. Data Analytical Solutions revenue decreased by $1.6 million for the six months ended June 30, 2025 as compared to the six months ended June 30, 2024, primarily due to decreased sales volume within PCMS and other Data Analytical Solutions offerings within our North America segment.</w:t>
      </w:r>
    </w:p>
    <w:p>
      <w:pPr>
        <w:spacing w:after="0" w:line="207"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Other revenue is comprised of locations that perform both asset inspection services and testing of components and materials at in-house Mistras laboratories. Other revenue increased by $7.9 million for the three months ended June 30, 2025 as compared to the three months ended June 30, 2024 and increased by $5.0 million for the six months ended June 30, 2025 as compared to the six months ended June 30, 2024, primarily due to increased sales within the defense sector within the North America segment.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which reflects the reclassification of certain overhead and personnel costs from selling, general and administrative</w:t>
      </w:r>
    </w:p>
    <w:p>
      <w:pPr>
        <w:spacing w:after="0" w:line="1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expenses to cost of revenue (see Note 1 - Description of Business and Basis of Presentation), increased by $2.6 million, or 5.1%, in the three months ended June 30, 2025 versus the prior year comparable period primarily due to </w:t>
      </w:r>
      <w:r>
        <w:rPr>
          <w:rFonts w:ascii="Times New Roman" w:cs="Times New Roman" w:eastAsia="Times New Roman" w:hAnsi="Times New Roman"/>
          <w:sz w:val="18"/>
          <w:szCs w:val="18"/>
          <w:color w:val="1D2228"/>
        </w:rPr>
        <w:t>an improved business mix and operating efficiencies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by segment for the three and six months ended June 30, 2025 and 2024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2940" w:type="dxa"/>
            <w:vAlign w:val="bottom"/>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5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9"/>
        </w:trPr>
        <w:tc>
          <w:tcPr>
            <w:tcW w:w="45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45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23"/>
                <w:szCs w:val="23"/>
                <w:b w:val="1"/>
                <w:bCs w:val="1"/>
                <w:color w:val="auto"/>
                <w:vertAlign w:val="superscript"/>
              </w:rPr>
              <w:t>(1)</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40,384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39,874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70,549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75,250</w:t>
            </w:r>
          </w:p>
        </w:tc>
      </w:tr>
      <w:tr>
        <w:trPr>
          <w:trHeight w:val="229"/>
        </w:trPr>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27.3 %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25.5 %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24.5 %</w:t>
            </w:r>
          </w:p>
        </w:tc>
      </w:tr>
      <w:tr>
        <w:trPr>
          <w:trHeight w:val="230"/>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12,270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9,890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21,358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19,157</w:t>
            </w:r>
          </w:p>
        </w:tc>
      </w:tr>
      <w:tr>
        <w:trPr>
          <w:trHeight w:val="229"/>
        </w:trPr>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31.4 %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28.9 %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29.5 %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28.5 %</w:t>
            </w:r>
          </w:p>
        </w:tc>
      </w:tr>
      <w:tr>
        <w:trPr>
          <w:trHeight w:val="229"/>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2,960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3,036</w:t>
            </w:r>
          </w:p>
        </w:tc>
      </w:tr>
      <w:tr>
        <w:trPr>
          <w:trHeight w:val="230"/>
        </w:trPr>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48.8 %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46.1 %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50.8 %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46.1 %</w:t>
            </w:r>
          </w:p>
        </w:tc>
      </w:tr>
      <w:tr>
        <w:trPr>
          <w:trHeight w:val="229"/>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45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53,945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51,340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94,837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97,492</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4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i w:val="1"/>
                <w:iCs w:val="1"/>
                <w:color w:val="auto"/>
              </w:rPr>
              <w:t>% of total revenue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29.1 %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27.3 %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26.1 %</w:t>
            </w:r>
          </w:p>
        </w:tc>
      </w:tr>
    </w:tbl>
    <w:p>
      <w:pPr>
        <w:spacing w:after="0" w:line="76" w:lineRule="exact"/>
        <w:rPr>
          <w:sz w:val="20"/>
          <w:szCs w:val="20"/>
          <w:color w:val="auto"/>
        </w:rPr>
      </w:pPr>
    </w:p>
    <w:p>
      <w:pPr>
        <w:ind w:firstLine="8"/>
        <w:spacing w:after="0" w:line="258" w:lineRule="auto"/>
        <w:tabs>
          <w:tab w:leader="none" w:pos="181"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noted in Note 1, the Company changed the presentation of certain costs incurred at its operational labs as well as the costs for certain personnel that indirectly support the Company’s delivery of services on its Consolidated Statements of Income (Loss). This voluntary change in classification of certain overhead and employee costs, which, were determined to be directly related to the Company’s delivery of services, resulted in a decrease in Selling, general and administrative expenses and an offsetting increase in Cost of revenue. The impact on gross profit of this change in classification for the year ended December 31, 2024 was approximately $20.9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54"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8"/>
          <w:szCs w:val="18"/>
          <w:color w:val="auto"/>
        </w:rPr>
        <w:t>Gross profit margin was 29.1% and 27.1% for the three-month periods ended June 30, 2025 and 2024, respectively. Gross profit margin for the North America segment increased by 1.8% during the three months ended June 30, 2025 as compared to the prior year comparable period primarily due to an improved business mix and operating efficiencies. International segment realized a 2.5% increase in gross profit margin to 31.4% during the three months ended June 30, 2025 as compared to the prior year comparable period primarily due to a favorable sales mix in the current year period. Products and Systems segment gross margin had an increase of 2.7% in gross profit margin to 48.8% during the three months ended June 30, 2025 primarily due to a favorable sales mix as compared to the prior period.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w:t>
      </w:r>
    </w:p>
    <w:p>
      <w:pPr>
        <w:spacing w:after="0" w:line="254"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8"/>
          <w:szCs w:val="18"/>
          <w:color w:val="auto"/>
        </w:rPr>
        <w:t>Gross profit margin was 27.3% and 26.1% for the six-month periods ended June 30, 2025 and 2024, respectively. Gross profit margin for the North America segment realized a 1.0% increase in gross profit margin to 25.5% during the six months ended June 30, 2025 as compared to the prior year comparable period primarily due to a favorable sales mix and operating efficiencies. International segment realized a 1.0% increase in gross profit margin to 29.5% during the six months ended June 30, 2025 as compared to the prior year comparable period primarily due to a favorable sales mix. Products and Systems segment gross margin had an increase of 4.7% in gross profit margin to 50.8% during the six months ended June 30, 2025 primarily due to a favorable sales mix as compared to the prior period.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for the three and six months ended June 30, 2025 and 2024 was as follows:</w:t>
      </w:r>
    </w:p>
    <w:p>
      <w:pPr>
        <w:sectPr>
          <w:pgSz w:w="11900" w:h="16838" w:orient="portrait"/>
          <w:cols w:equalWidth="0" w:num="1">
            <w:col w:w="11240"/>
          </w:cols>
          <w:pgMar w:left="320" w:top="118" w:right="339" w:bottom="1440" w:gutter="0" w:footer="0" w:header="0"/>
        </w:sectPr>
      </w:pPr>
    </w:p>
    <w:p>
      <w:pPr>
        <w:spacing w:after="0" w:line="286"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33655</wp:posOffset>
            </wp:positionV>
            <wp:extent cx="20828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35" w:lineRule="exact"/>
        <w:rPr>
          <w:sz w:val="20"/>
          <w:szCs w:val="20"/>
          <w:color w:val="auto"/>
        </w:rPr>
      </w:pPr>
    </w:p>
    <w:p>
      <w:pPr>
        <w:ind w:left="5240"/>
        <w:spacing w:after="0"/>
        <w:tabs>
          <w:tab w:leader="none" w:pos="69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33655</wp:posOffset>
            </wp:positionV>
            <wp:extent cx="20828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3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33655</wp:posOffset>
            </wp:positionV>
            <wp:extent cx="20828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35"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33655</wp:posOffset>
            </wp:positionV>
            <wp:extent cx="20828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260" w:lineRule="exact"/>
        <w:rPr>
          <w:sz w:val="20"/>
          <w:szCs w:val="20"/>
          <w:color w:val="auto"/>
        </w:rPr>
      </w:pPr>
    </w:p>
    <w:p>
      <w:pPr>
        <w:sectPr>
          <w:pgSz w:w="11900" w:h="16838" w:orient="portrait"/>
          <w:cols w:equalWidth="0" w:num="2">
            <w:col w:w="7900" w:space="720"/>
            <w:col w:w="262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39,793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36,181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75,445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72,431</w:t>
            </w: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5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6,038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2,076</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Environmental expense</w:t>
            </w: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settlement and insurance recoveries, net</w:t>
            </w:r>
          </w:p>
        </w:tc>
        <w:tc>
          <w:tcPr>
            <w:tcW w:w="50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engineering</w:t>
            </w: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4,312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4,839</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45,517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39,381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87,421</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79,981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i w:val="1"/>
                <w:iCs w:val="1"/>
                <w:color w:val="auto"/>
              </w:rPr>
              <w:t>% of total revenue</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24.6 %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20.8 %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25.2 %</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21.4 %</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41"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Operating expenses increased $6.1 million, or 15.6%, for the three months ended June 30, 2025 compared to the three months ended June 30, 2024. Selling, general and administrative expenses increased $3.6 million during the three months ended June 30, 2025 compared to the three months ended June 30, 2024, due to adverse foreign exchange impact, partially offset by ongoing cost containment activities. As discussed in Note 1 - Description of Business and Basis of Presentation, Selling, general and administrative expenses reflect the classification change for certain overhead and personnel costs from Selling, general and administrative expenses to Cost of revenue. Environmental expense increased by $0.5 million as compared to the prior year comparable period due to environmental costs incurred during the three months ended June 30, 2025, which were not incurred during the prior year comparable period. Reorganization and other costs increased by $2.4 million to $3.0 million as compared to the prior year comparable period due to continued calibration of the Company’s headcount and other related costs. Depreciation and amortization decreased $0.4 million during the three months ended June 30, 2025 compared to the three months ended June 30, 2024.</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w:t>
      </w:r>
    </w:p>
    <w:p>
      <w:pPr>
        <w:spacing w:after="0" w:line="241"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Operating expenses increased $7.4 million, or 9%, for the six months ended June 30, 2025 compared to the six months ended June 30, 2024. Selling, general and administrative expenses increased $3.0 million during the six months ended June 30, 2025 compared to the six months ended June 30, 2024, due to an unfavorable foreign exchange impact as compared to the prior year comparable period, partially offset by continued cost discipline and our focus on the calibration of our overhead costs relative to revenue achieved. As discussed in Note 1 - Description of Business and Basis of Presentation, Selling, general and administrative expenses reflect the classification change for certain overhead and personnel costs from Selling, general and administrative expenses to Cost of revenue. Environmental expense increased by $1.1 million as compared to the prior year comparable period due to environmental costs incurred during the six months ended June 30, 2025, which were not incurred during the prior year comparable period. Reorganization and other costs increased by $4.0 million to $6.0 million as compared to the prior year comparable period due to continued calibration of the Company’s headcount and other related costs. Depreciation and amortization decreased by $0.5 million during the six months ended June 30, 2025 compared to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p>
      <w:pPr>
        <w:spacing w:after="0" w:line="256" w:lineRule="exact"/>
        <w:rPr>
          <w:sz w:val="20"/>
          <w:szCs w:val="20"/>
          <w:color w:val="auto"/>
        </w:rPr>
      </w:pPr>
    </w:p>
    <w:p>
      <w:pPr>
        <w:ind w:right="500"/>
        <w:spacing w:after="0" w:line="270" w:lineRule="auto"/>
        <w:rPr>
          <w:sz w:val="20"/>
          <w:szCs w:val="20"/>
          <w:color w:val="auto"/>
        </w:rPr>
      </w:pPr>
      <w:r>
        <w:rPr>
          <w:rFonts w:ascii="Times New Roman" w:cs="Times New Roman" w:eastAsia="Times New Roman" w:hAnsi="Times New Roman"/>
          <w:sz w:val="18"/>
          <w:szCs w:val="18"/>
          <w:color w:val="auto"/>
        </w:rPr>
        <w:t>The following table shows a reconciliation of the income from operations to income (loss) from operations before special items for each of our three segments, Corporate and Elimination and for the Company in total:</w:t>
      </w:r>
    </w:p>
    <w:p>
      <w:pPr>
        <w:sectPr>
          <w:pgSz w:w="11900" w:h="16838" w:orient="portrait"/>
          <w:cols w:equalWidth="0" w:num="1">
            <w:col w:w="11200"/>
          </w:cols>
          <w:pgMar w:left="320" w:top="118" w:right="379" w:bottom="1440" w:gutter="0" w:footer="0" w:header="0"/>
        </w:sectPr>
      </w:pPr>
    </w:p>
    <w:p>
      <w:pPr>
        <w:ind w:left="59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33655</wp:posOffset>
            </wp:positionV>
            <wp:extent cx="18002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5" w:lineRule="exact"/>
        <w:rPr>
          <w:sz w:val="20"/>
          <w:szCs w:val="20"/>
          <w:color w:val="auto"/>
        </w:rPr>
      </w:pPr>
    </w:p>
    <w:p>
      <w:pPr>
        <w:ind w:left="5960"/>
        <w:spacing w:after="0"/>
        <w:tabs>
          <w:tab w:leader="none" w:pos="742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33655</wp:posOffset>
            </wp:positionV>
            <wp:extent cx="18002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5"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20" w:lineRule="exact"/>
        <w:rPr>
          <w:sz w:val="20"/>
          <w:szCs w:val="20"/>
          <w:color w:val="auto"/>
        </w:rPr>
      </w:pPr>
      <w:r>
        <w:rPr>
          <w:sz w:val="20"/>
          <w:szCs w:val="20"/>
          <w:color w:val="auto"/>
        </w:rPr>
        <w:br w:type="column"/>
      </w:r>
    </w:p>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33655</wp:posOffset>
            </wp:positionV>
            <wp:extent cx="18002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5"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33655</wp:posOffset>
            </wp:positionV>
            <wp:extent cx="18002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53" w:lineRule="exact"/>
        <w:rPr>
          <w:sz w:val="20"/>
          <w:szCs w:val="20"/>
          <w:color w:val="auto"/>
        </w:rPr>
      </w:pPr>
    </w:p>
    <w:p>
      <w:pPr>
        <w:sectPr>
          <w:pgSz w:w="11900" w:h="16838" w:orient="portrait"/>
          <w:cols w:equalWidth="0" w:num="2">
            <w:col w:w="8180" w:space="720"/>
            <w:col w:w="2300"/>
          </w:cols>
          <w:pgMar w:left="320" w:top="118" w:right="37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16,758</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23,273</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32,287</w:t>
            </w: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settlement and insurance recoveries, net</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54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 before special items (non-GAAP)</w:t>
            </w: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17,871</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25,744</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32,439</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r>
      <w:tr>
        <w:trPr>
          <w:trHeight w:val="229"/>
        </w:trPr>
        <w:tc>
          <w:tcPr>
            <w:tcW w:w="5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23"/>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 before special items (non-GAAP)</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Products and Systems:</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4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 before special items (non-GAAP)</w:t>
            </w: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 and Eliminations:</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operations (GAAP)</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(18,356)</w:t>
            </w: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expense</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r>
      <w:tr>
        <w:trPr>
          <w:trHeight w:val="223"/>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operations before special items (non-GAAP)</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(10,406)</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(17,401)</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(16,637)</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17,511</w:t>
            </w: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Environmental expense</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settlement and insurance recoveries, net</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before special items (non-GAAP)</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11,897</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12,537</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14,512</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19,647</w:t>
            </w:r>
          </w:p>
        </w:tc>
      </w:tr>
      <w:tr>
        <w:trPr>
          <w:trHeight w:val="21"/>
        </w:trPr>
        <w:tc>
          <w:tcPr>
            <w:tcW w:w="5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section </w:t>
      </w:r>
      <w:r>
        <w:rPr>
          <w:rFonts w:ascii="Times New Roman" w:cs="Times New Roman" w:eastAsia="Times New Roman" w:hAnsi="Times New Roman"/>
          <w:sz w:val="18"/>
          <w:szCs w:val="18"/>
          <w:b w:val="1"/>
          <w:bCs w:val="1"/>
          <w:i w:val="1"/>
          <w:iCs w:val="1"/>
          <w:color w:val="auto"/>
        </w:rPr>
        <w:t>Note About Non-GAAP Measures</w:t>
      </w:r>
      <w:r>
        <w:rPr>
          <w:rFonts w:ascii="Times New Roman" w:cs="Times New Roman" w:eastAsia="Times New Roman" w:hAnsi="Times New Roman"/>
          <w:sz w:val="18"/>
          <w:szCs w:val="18"/>
          <w:color w:val="auto"/>
        </w:rPr>
        <w:t xml:space="preserve"> in this Quarterly Report for an explanation of the use of non-GAAP measurements.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2025, income from operations (GAAP) decreased $3.5 million or 29.5%, compared with the three months ended June 30, 2024, while income from operations before special items (non-GAAP) decreased by $0.6 million, or 5.1%. As a percentage of revenue, income from operations before special items decreased by 20 basis points to 6.4% in the three months ended June 30, 2025 compared to 6.6% in the three months ended June 30,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w:t>
      </w:r>
    </w:p>
    <w:p>
      <w:pPr>
        <w:spacing w:after="0" w:line="2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2025, income from operations (GAAP) decreased $10.1 million or 58%, compared with the six months ended June 30, 2024, while income from operations before special items (non-GAAP) decreased by $5.1 million, or 26%. As a percentage of revenue, income from operations before special items decreased by 110 basis points to 4.2% in the six months ended June 30, 2025 compared to 5.3% in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Interest expense was approximately $4.2 million and $4.4 million for the three months ended June 30, 2025 and 2024, respectively. This decrease of $0.2 million in interest expense was a result of lower debt balances during the three months ended June 30, 2025 in comparison to the prior year comparable period. Interest expense was approximately $7.6 million and $8.8 million for the six months ended June 30, 2025 and 2024, respectively. This decrease of $1.2 million in interest expense was a result of lower debt balances during the six months ended June 30, 2025 in comparison to the prior year comparable period.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effective income tax rate was approximately 25.4% and 15.5% for the three months ended June 30, 2025 and 2024, respectively. Our effective income tax rate was approximately 71.4% and 14.9% for the six months ended June 30, 2025 and 2024, respectively.</w:t>
      </w:r>
    </w:p>
    <w:p>
      <w:pPr>
        <w:spacing w:after="0" w:line="189" w:lineRule="exact"/>
        <w:rPr>
          <w:sz w:val="20"/>
          <w:szCs w:val="20"/>
          <w:color w:val="auto"/>
        </w:rPr>
      </w:pPr>
    </w:p>
    <w:p>
      <w:pPr>
        <w:jc w:val="both"/>
        <w:ind w:right="500"/>
        <w:spacing w:after="0" w:line="258" w:lineRule="auto"/>
        <w:rPr>
          <w:sz w:val="20"/>
          <w:szCs w:val="20"/>
          <w:color w:val="auto"/>
        </w:rPr>
      </w:pPr>
      <w:r>
        <w:rPr>
          <w:rFonts w:ascii="Times New Roman" w:cs="Times New Roman" w:eastAsia="Times New Roman" w:hAnsi="Times New Roman"/>
          <w:sz w:val="18"/>
          <w:szCs w:val="18"/>
          <w:color w:val="auto"/>
        </w:rPr>
        <w:t>The effective income tax rate for the three months ended June 30, 2025, was higher than the statutory rate primarily due to the impact of a favorable discrete item related to stock compensation. The effective income tax rate for the three months ended June 30, 2024 was lower than the statutory rate primarily due to the impact of a favorable discrete item related to stock compensation.</w:t>
      </w:r>
    </w:p>
    <w:p>
      <w:pPr>
        <w:spacing w:after="0" w:line="19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effective income tax rate for the six months ended June 30, 2025, was higher than the statutory rate primarily due to the impact of a favorable discrete item related to stock compensation. The effective income tax rate for the six months ended June 30, 2024, was lower than the statutory rate primarily due to the reversal of valuation allowances.</w:t>
      </w:r>
    </w:p>
    <w:p>
      <w:pPr>
        <w:spacing w:after="0" w:line="19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Income tax expense varies as a function of pre-tax income and the level of non-deductible expenses, such as certain amounts of meals and entertainment expense, valuation allowances, and other permanent differences. It is also affected by discrete items that may occur in any given year but are not consistent from year to year. Our effective income tax rate may fluctuate over the next few years due to many variables including the amount and future geographic distribution of our pre-tax income, changes resulting from our acquisition strategy, and increases or decreases in our permanent differences.</w:t>
      </w:r>
    </w:p>
    <w:p>
      <w:pPr>
        <w:spacing w:after="0" w:line="20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On July 4, 2025, H.R.1, commonly referred to as the One Big Beautiful Bill Act ("OBBBA"), was enacted, which includes a broad range of tax reform provisions. We are currently evaluating the impact of the OBBBA.</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are summarized in the table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9"/>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w:t>
            </w: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(11,217)</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2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During the six months ended June 30, 2025, cash used in operating activities was $3.6 million, representing a year-on-year decrease of $8.7 million, or 171%. This decrease was primarily attributable to an increase in days sales outstanding and movements in working capital, as compared to the prior year comparable period. Specifically, during the second quarter of 2025, we had a buildup in unbilled accounts receivable and a delay in invoicing related to our conversion to a new enterprise resource planning (“ERP”) system effective as of April 1, 2025. Although unbilled and billed accounts receivable balances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increased during the period ended June 30, 2025 related to the ERP implementation, we expect a reduction in these balances over the remainder of the year.</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cash used in investing activities was $11.4 million, representing a $0.2 million increase compared to the prior year comparable period, primarily attributable to increased expenditures for property, plant, and equipment.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$14.9 million for the six months ended June 30, 2025, compared to net cash provided by financing activities of $5.3 million for the six months ended June 30, 2024. During the six months ended June 30, 2025, net borrowings of debt were approximately $9.8 million higher than compared to the prior year comparable period resulting in net debt borrowings during the period. The increase in net cash provided by financing activities is partially offset by $0.2 million more in taxes paid related to net share settlement of share-based awards during the six months ended June 30, 2025.</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effect of exchange rate changes on our cash and cash equivalents was an increase of $1.8 million in the six months ended June 30, 2025, compared to an increase of $0.4 million for the six months ended June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Balance and Credit Facility Borrowings</w:t>
      </w:r>
    </w:p>
    <w:p>
      <w:pPr>
        <w:spacing w:after="0" w:line="2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June 30, 2025, we had cash and cash equivalents totaling $20.0 million and $102.6 million of unused commitments under our Credit Agreement with borrowings of $187.2 million and $3.1 million of letters of credit outstanding. We finance operations primarily through our existing cash balances, cash collected from operations, bank borrowings and capital lease financing. We believe these sources are sufficient to fund our operations for the foreseeable future.</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June 30, 2025, we were in compliance with the terms of the Credit Agreement and will continuously monitor our compliance with the covenants contained in the Credit Agreement.</w:t>
      </w:r>
    </w:p>
    <w:p>
      <w:pPr>
        <w:spacing w:after="0" w:line="185"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color w:val="auto"/>
        </w:rPr>
        <w:t xml:space="preserve">The terms of our Credit Agreement are described in Note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i w:val="1"/>
          <w:iCs w:val="1"/>
          <w:color w:val="auto"/>
        </w:rPr>
        <w:t>Long-Term Debt</w:t>
      </w:r>
      <w:r>
        <w:rPr>
          <w:rFonts w:ascii="Times New Roman" w:cs="Times New Roman" w:eastAsia="Times New Roman" w:hAnsi="Times New Roman"/>
          <w:sz w:val="18"/>
          <w:szCs w:val="18"/>
          <w:color w:val="auto"/>
        </w:rPr>
        <w:t xml:space="preserve"> of the Notes to the Unaudited Condensed Consolidated Financial Statements, under the heading "</w:t>
      </w:r>
      <w:r>
        <w:rPr>
          <w:rFonts w:ascii="Times New Roman" w:cs="Times New Roman" w:eastAsia="Times New Roman" w:hAnsi="Times New Roman"/>
          <w:sz w:val="18"/>
          <w:szCs w:val="18"/>
          <w:i w:val="1"/>
          <w:iCs w:val="1"/>
          <w:color w:val="auto"/>
        </w:rPr>
        <w:t>Senior Credit Facility</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in our contractual obligations and outstanding indebtedness as disclosed in the 2024 Annual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5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2024 Annual Report.</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quantitative and qualitative disclosures about market risk as discussed in Part II, Item 7A “Quantitative and Qualitative Disclosures About Market Risk,” included in the 2024 Annual Report.</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Rule 13a-15(b) under the Exchange Act, our management carried out an evaluation, under the supervision and with the participation of our President and Chief Executive Officer and our Senior Executive Vice President, Chief Financial Officer, of the effectiveness of the design and operation of our disclosure controls (as defined in Rule 13a-15(e) of the Exchange Act) and procedures. Based upon that evaluation, our President and Chief Executive Officer and our Senior Executive Vice President, Chief Financial Officer concluded that, as of June 30, 2025, our disclosure controls and procedures were effective.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ind w:right="680"/>
        <w:spacing w:after="0" w:line="260"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June 30, 2025 that materially affected, or are reasonably likely to materially affect, our internal control over financial reporting.</w:t>
      </w: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 xml:space="preserve">See Note 13 - </w:t>
      </w:r>
      <w:r>
        <w:rPr>
          <w:rFonts w:ascii="Times New Roman" w:cs="Times New Roman" w:eastAsia="Times New Roman" w:hAnsi="Times New Roman"/>
          <w:sz w:val="18"/>
          <w:szCs w:val="18"/>
          <w:b w:val="1"/>
          <w:bCs w:val="1"/>
          <w:i w:val="1"/>
          <w:iCs w:val="1"/>
          <w:color w:val="auto"/>
        </w:rPr>
        <w:t>Commitments and Contingencies</w:t>
      </w:r>
      <w:r>
        <w:rPr>
          <w:rFonts w:ascii="Times New Roman" w:cs="Times New Roman" w:eastAsia="Times New Roman" w:hAnsi="Times New Roman"/>
          <w:sz w:val="18"/>
          <w:szCs w:val="18"/>
          <w:color w:val="auto"/>
        </w:rPr>
        <w:t xml:space="preserve"> to the Notes to Unaudited Condensed Consolidated Financial Statements included in this Quarterly Report for a description of our legal proceedings. There have been no material legal proceedings and no material developments with regard to any matters disclosed under Part I, Item 3 "Legal Proceedings" in our 2024 Annual Report, except as disclosed herein under Note 13 - </w:t>
      </w:r>
      <w:r>
        <w:rPr>
          <w:rFonts w:ascii="Times New Roman" w:cs="Times New Roman" w:eastAsia="Times New Roman" w:hAnsi="Times New Roman"/>
          <w:sz w:val="18"/>
          <w:szCs w:val="18"/>
          <w:b w:val="1"/>
          <w:bCs w:val="1"/>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Contingencies </w:t>
      </w:r>
      <w:r>
        <w:rPr>
          <w:rFonts w:ascii="Times New Roman" w:cs="Times New Roman" w:eastAsia="Times New Roman" w:hAnsi="Times New Roman"/>
          <w:sz w:val="18"/>
          <w:szCs w:val="18"/>
          <w:color w:val="auto"/>
        </w:rPr>
        <w:t>to the Notes to the Unaudited Condensed Consolidated Financial Statements.</w:t>
      </w:r>
    </w:p>
    <w:p>
      <w:pPr>
        <w:spacing w:after="0" w:line="1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you should carefully consider the risk factors discussed under the “Risk Factors” section included in our 2024 Annual Report. There have been no material changes to the risk factors previously disclosed in the 2024 Annual Report.</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 of Equity Securities and Use of Proceeds</w:t>
      </w:r>
    </w:p>
    <w:p>
      <w:pPr>
        <w:spacing w:after="0" w:line="225" w:lineRule="exact"/>
        <w:rPr>
          <w:sz w:val="20"/>
          <w:szCs w:val="20"/>
          <w:color w:val="auto"/>
        </w:rPr>
      </w:pPr>
    </w:p>
    <w:p>
      <w:pPr>
        <w:ind w:left="660" w:right="8620" w:hanging="652"/>
        <w:spacing w:after="0" w:line="500" w:lineRule="auto"/>
        <w:tabs>
          <w:tab w:leader="none" w:pos="267"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Sales of Unregistered Securities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i w:val="1"/>
          <w:iCs w:val="1"/>
          <w:color w:val="auto"/>
        </w:rPr>
      </w:pPr>
    </w:p>
    <w:p>
      <w:pPr>
        <w:ind w:left="660" w:right="6800" w:hanging="652"/>
        <w:spacing w:after="0" w:line="500" w:lineRule="auto"/>
        <w:tabs>
          <w:tab w:leader="none" w:pos="267"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Use of Proceeds from Public Offering of Common Stock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i w:val="1"/>
          <w:iCs w:val="1"/>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Repurchases of Our Equity Securities</w:t>
      </w:r>
    </w:p>
    <w:p>
      <w:pPr>
        <w:spacing w:after="0" w:line="229"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sets forth the shares of our common stock we acquired during the quarter as a result of the surrender of shares by employees to satisfy tax withholding obligations in connection with the vesting or settlement of restricted stock units.</w:t>
      </w: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3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Month Ending</w:t>
            </w:r>
          </w:p>
        </w:tc>
        <w:tc>
          <w:tcPr>
            <w:tcW w:w="2640" w:type="dxa"/>
            <w:vAlign w:val="bottom"/>
          </w:tcPr>
          <w:p>
            <w:pPr>
              <w:jc w:val="center"/>
              <w:ind w:left="568"/>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 Shares (or</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760" w:type="dxa"/>
            <w:vAlign w:val="bottom"/>
          </w:tcPr>
          <w:p>
            <w:pPr>
              <w:jc w:val="right"/>
              <w:ind w:right="837"/>
              <w:spacing w:after="0" w:line="149" w:lineRule="exact"/>
              <w:rPr>
                <w:sz w:val="20"/>
                <w:szCs w:val="20"/>
                <w:color w:val="auto"/>
              </w:rPr>
            </w:pPr>
            <w:r>
              <w:rPr>
                <w:rFonts w:ascii="Times New Roman" w:cs="Times New Roman" w:eastAsia="Times New Roman" w:hAnsi="Times New Roman"/>
                <w:sz w:val="14"/>
                <w:szCs w:val="14"/>
                <w:b w:val="1"/>
                <w:bCs w:val="1"/>
                <w:color w:val="auto"/>
              </w:rPr>
              <w:t>Average Price Paid per</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340" w:type="dxa"/>
            <w:vAlign w:val="bottom"/>
            <w:gridSpan w:val="3"/>
            <w:vMerge w:val="continue"/>
          </w:tcPr>
          <w:p>
            <w:pPr>
              <w:spacing w:after="0"/>
              <w:rPr>
                <w:sz w:val="16"/>
                <w:szCs w:val="16"/>
                <w:color w:val="auto"/>
              </w:rPr>
            </w:pPr>
          </w:p>
        </w:tc>
        <w:tc>
          <w:tcPr>
            <w:tcW w:w="264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Units) Purchased</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60" w:type="dxa"/>
            <w:vAlign w:val="bottom"/>
          </w:tcPr>
          <w:p>
            <w:pPr>
              <w:jc w:val="right"/>
              <w:ind w:right="1097"/>
              <w:spacing w:after="0"/>
              <w:rPr>
                <w:sz w:val="20"/>
                <w:szCs w:val="20"/>
                <w:color w:val="auto"/>
              </w:rPr>
            </w:pPr>
            <w:r>
              <w:rPr>
                <w:rFonts w:ascii="Times New Roman" w:cs="Times New Roman" w:eastAsia="Times New Roman" w:hAnsi="Times New Roman"/>
                <w:sz w:val="14"/>
                <w:szCs w:val="14"/>
                <w:b w:val="1"/>
                <w:bCs w:val="1"/>
                <w:color w:val="auto"/>
              </w:rPr>
              <w:t>Share (or Unit)</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24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April 30, 2025</w:t>
            </w:r>
          </w:p>
        </w:tc>
        <w:tc>
          <w:tcPr>
            <w:tcW w:w="1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May 31, 2025</w:t>
            </w:r>
          </w:p>
        </w:tc>
        <w:tc>
          <w:tcPr>
            <w:tcW w:w="26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2025</w:t>
            </w:r>
          </w:p>
        </w:tc>
        <w:tc>
          <w:tcPr>
            <w:tcW w:w="26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10"/>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Defaults Upon Senior Securities</w:t>
            </w:r>
          </w:p>
        </w:tc>
        <w:tc>
          <w:tcPr>
            <w:tcW w:w="2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33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None.</w:t>
            </w:r>
          </w:p>
        </w:tc>
        <w:tc>
          <w:tcPr>
            <w:tcW w:w="2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Mine Safety Disclosures</w:t>
            </w:r>
          </w:p>
        </w:tc>
        <w:tc>
          <w:tcPr>
            <w:tcW w:w="2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3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During the three and six months ended June 30, 2025, none of the Company's directors or officers, as defined in Section 16 of the Securities Exchange Act of 1934, adopted or terminated a "Rule 10b5-1 trading arrangement" or a "non-Rule 10b5-1 trading arrangement," as each term is defined in Item 408(a) of Regulation S-K of the Securities Exchange Act of 1934.</w:t>
      </w:r>
    </w:p>
    <w:p>
      <w:pPr>
        <w:spacing w:after="0" w:line="186" w:lineRule="exact"/>
        <w:rPr>
          <w:sz w:val="20"/>
          <w:szCs w:val="20"/>
          <w:color w:val="auto"/>
        </w:rPr>
      </w:pPr>
    </w:p>
    <w:p>
      <w:pPr>
        <w:ind w:right="2100"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did not adopt, terminate or modify a Rule 10b5-1 trading arrangement.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2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22"/>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4"/>
          </w:tcPr>
          <w:p>
            <w:pPr>
              <w:ind w:left="46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320" w:type="dxa"/>
            <w:vAlign w:val="bottom"/>
            <w:tcBorders>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40" w:type="dxa"/>
            <w:vAlign w:val="bottom"/>
            <w:tcBorders>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 under the Securities Exchange Act of 1934.</w:t>
            </w:r>
          </w:p>
        </w:tc>
        <w:tc>
          <w:tcPr>
            <w:tcW w:w="1980" w:type="dxa"/>
            <w:vAlign w:val="bottom"/>
          </w:tcPr>
          <w:p>
            <w:pPr>
              <w:spacing w:after="0"/>
              <w:rPr>
                <w:sz w:val="15"/>
                <w:szCs w:val="15"/>
                <w:color w:val="auto"/>
              </w:rPr>
            </w:pPr>
          </w:p>
        </w:tc>
      </w:tr>
      <w:tr>
        <w:trPr>
          <w:trHeight w:val="439"/>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under the Securities Exchange Act of 1934.</w:t>
            </w: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w:t>
            </w:r>
          </w:p>
        </w:tc>
        <w:tc>
          <w:tcPr>
            <w:tcW w:w="2040" w:type="dxa"/>
            <w:vAlign w:val="bottom"/>
            <w:gridSpan w:val="2"/>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Labels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MISTRAS GROUP, INC.</w:t>
      </w:r>
    </w:p>
    <w:p>
      <w:pPr>
        <w:spacing w:after="0" w:line="256" w:lineRule="exact"/>
        <w:rPr>
          <w:sz w:val="20"/>
          <w:szCs w:val="20"/>
          <w:color w:val="auto"/>
        </w:rPr>
      </w:pPr>
    </w:p>
    <w:p>
      <w:pPr>
        <w:ind w:left="486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630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w:t>
      </w:r>
    </w:p>
    <w:p>
      <w:pPr>
        <w:spacing w:after="0" w:line="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(Principal Financial and Accounting Officer and duly authorized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20"/>
          </w:cols>
          <w:pgMar w:left="320" w:top="118" w:right="65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Natalia Shuman-Fabbri, certify that:</w:t>
      </w:r>
    </w:p>
    <w:p>
      <w:pPr>
        <w:spacing w:after="0" w:line="90"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Mistras Group, Inc.;</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2025</w:t>
      </w:r>
    </w:p>
    <w:p>
      <w:pPr>
        <w:spacing w:after="0" w:line="5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 Natalia Shuman-Fabbri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17145</wp:posOffset>
            </wp:positionV>
            <wp:extent cx="28460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Natalia Shuman-Fabbri</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98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J. Prajzner, certify that:</w:t>
      </w:r>
    </w:p>
    <w:p>
      <w:pPr>
        <w:spacing w:after="0" w:line="104"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Mistras Group, Inc.;</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2025</w:t>
      </w:r>
    </w:p>
    <w:p>
      <w:pPr>
        <w:spacing w:after="0" w:line="5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8404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40480" cy="8890"/>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w:t>
      </w:r>
    </w:p>
    <w:p>
      <w:pPr>
        <w:spacing w:after="0" w:line="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240"/>
          </w:cols>
          <w:pgMar w:left="320" w:top="1305"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June 30, 2025 (the “Report”), fully complies with the requirements of Section 13(a) or 15(d)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11, 2025</w:t>
      </w:r>
    </w:p>
    <w:p>
      <w:pPr>
        <w:spacing w:after="0" w:line="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Natalia Shuman-Fabbri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17145</wp:posOffset>
            </wp:positionV>
            <wp:extent cx="37973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Natalia Shuman-Fabbri</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17145</wp:posOffset>
            </wp:positionV>
            <wp:extent cx="37973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lvl w:ilvl="1">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2025-08-11T14:23:12Z</dcterms:created>
  <dcterms:modified xsi:type="dcterms:W3CDTF">2025-08-11T14:23:12Z</dcterms:modified>
</cp:coreProperties>
</file>