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9"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191135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195" w:lineRule="exact"/>
        <w:rPr>
          <w:sz w:val="24"/>
          <w:szCs w:val="24"/>
          <w:color w:val="auto"/>
        </w:rPr>
      </w:pPr>
    </w:p>
    <w:tbl>
      <w:tblPr>
        <w:tblLayout w:type="fixed"/>
        <w:tblInd w:w="3440" w:type="dxa"/>
        <w:tblCellMar>
          <w:top w:w="0" w:type="dxa"/>
          <w:left w:w="0" w:type="dxa"/>
          <w:bottom w:w="0" w:type="dxa"/>
          <w:right w:w="0" w:type="dxa"/>
        </w:tblCellMar>
      </w:tblPr>
      <w:tr>
        <w:trPr>
          <w:trHeight w:val="238"/>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196"/>
        </w:trPr>
        <w:tc>
          <w:tcPr>
            <w:tcW w:w="2960" w:type="dxa"/>
            <w:vAlign w:val="bottom"/>
          </w:tcPr>
          <w:p>
            <w:pPr>
              <w:jc w:val="center"/>
              <w:ind w:righ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460" w:type="dxa"/>
            <w:vAlign w:val="bottom"/>
          </w:tcPr>
          <w:p>
            <w:pPr>
              <w:jc w:val="center"/>
              <w:ind w:lef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324"/>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1460" w:type="dxa"/>
            <w:vAlign w:val="bottom"/>
          </w:tcPr>
          <w:p>
            <w:pPr>
              <w:spacing w:after="0"/>
              <w:rPr>
                <w:sz w:val="24"/>
                <w:szCs w:val="24"/>
                <w:color w:val="auto"/>
              </w:rPr>
            </w:pPr>
          </w:p>
        </w:tc>
      </w:tr>
      <w:tr>
        <w:trPr>
          <w:trHeight w:val="256"/>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43"/>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716-4000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70"/>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80" w:type="dxa"/>
            <w:vAlign w:val="bottom"/>
          </w:tcPr>
          <w:p>
            <w:pPr>
              <w:spacing w:after="0"/>
              <w:rPr>
                <w:sz w:val="23"/>
                <w:szCs w:val="23"/>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80" w:type="dxa"/>
            <w:vAlign w:val="bottom"/>
          </w:tcPr>
          <w:p>
            <w:pPr>
              <w:spacing w:after="0"/>
              <w:rPr>
                <w:sz w:val="23"/>
                <w:szCs w:val="23"/>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37"/>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MG</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41"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132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rPr>
                <w:sz w:val="20"/>
                <w:szCs w:val="20"/>
                <w:color w:val="auto"/>
              </w:rPr>
            </w:pPr>
            <w:r>
              <w:rPr>
                <w:rFonts w:ascii="Wingdings" w:cs="Wingdings" w:eastAsia="Wingdings" w:hAnsi="Wingdings"/>
                <w:sz w:val="18"/>
                <w:szCs w:val="18"/>
                <w:b w:val="1"/>
                <w:bCs w:val="1"/>
                <w:color w:val="auto"/>
                <w:w w:val="83"/>
              </w:rPr>
              <w:t>x</w:t>
            </w: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1064" w:right="339" w:bottom="272"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2026, the registrant had 31,867,074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4" w:right="339" w:bottom="27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384810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5"/>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0000FF"/>
            </w:tcBorders>
            <w:gridSpan w:val="10"/>
            <w:vMerge w:val="continue"/>
          </w:tcPr>
          <w:p>
            <w:pPr>
              <w:spacing w:after="0"/>
              <w:rPr>
                <w:sz w:val="15"/>
                <w:szCs w:val="15"/>
                <w:color w:val="auto"/>
              </w:rPr>
            </w:pPr>
          </w:p>
        </w:tc>
        <w:tc>
          <w:tcPr>
            <w:tcW w:w="7520" w:type="dxa"/>
            <w:vAlign w:val="bottom"/>
            <w:gridSpan w:val="15"/>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Balance Sheets as of September 30, 2026 and December 31, 2025</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for the three and nine months ended September 30, 2026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20" w:type="dxa"/>
            <w:vAlign w:val="bottom"/>
            <w:tcBorders>
              <w:top w:val="single" w:sz="8" w:color="0E32E1"/>
            </w:tcBorders>
            <w:gridSpan w:val="18"/>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20" w:type="dxa"/>
            <w:vAlign w:val="bottom"/>
            <w:tcBorders>
              <w:left w:val="single" w:sz="8" w:color="0E32E1"/>
            </w:tcBorders>
            <w:gridSpan w:val="2"/>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Income for the three and nine months ended September</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20" w:type="dxa"/>
            <w:vAlign w:val="bottom"/>
            <w:tcBorders>
              <w:top w:val="single" w:sz="8" w:color="0E32E1"/>
            </w:tcBorders>
            <w:gridSpan w:val="19"/>
          </w:tcPr>
          <w:p>
            <w:pPr>
              <w:spacing w:after="0" w:line="142" w:lineRule="exact"/>
              <w:rPr>
                <w:sz w:val="20"/>
                <w:szCs w:val="20"/>
                <w:color w:val="auto"/>
              </w:rPr>
            </w:pPr>
            <w:r>
              <w:rPr>
                <w:rFonts w:ascii="Times New Roman" w:cs="Times New Roman" w:eastAsia="Times New Roman" w:hAnsi="Times New Roman"/>
                <w:sz w:val="16"/>
                <w:szCs w:val="16"/>
                <w:color w:val="0E32E1"/>
              </w:rPr>
              <w:t>30, 2026 and September 30, 2025</w:t>
            </w:r>
          </w:p>
        </w:tc>
        <w:tc>
          <w:tcPr>
            <w:tcW w:w="8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20" w:type="dxa"/>
            <w:vAlign w:val="bottom"/>
            <w:tcBorders>
              <w:left w:val="single" w:sz="8" w:color="0E32E1"/>
            </w:tcBorders>
            <w:gridSpan w:val="2"/>
            <w:shd w:val="clear" w:color="auto" w:fill="0E32E1"/>
          </w:tcPr>
          <w:p>
            <w:pPr>
              <w:spacing w:after="0" w:line="20" w:lineRule="exact"/>
              <w:rPr>
                <w:sz w:val="1"/>
                <w:szCs w:val="1"/>
                <w:color w:val="auto"/>
              </w:rPr>
            </w:pPr>
          </w:p>
        </w:tc>
        <w:tc>
          <w:tcPr>
            <w:tcW w:w="320" w:type="dxa"/>
            <w:vAlign w:val="bottom"/>
            <w:gridSpan w:val="2"/>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Equity for the three and nine months ended September 30, 2026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60" w:type="dxa"/>
            <w:vAlign w:val="bottom"/>
            <w:tcBorders>
              <w:top w:val="single" w:sz="8" w:color="0E32E1"/>
            </w:tcBorders>
            <w:gridSpan w:val="17"/>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2025</w:t>
            </w:r>
          </w:p>
        </w:tc>
        <w:tc>
          <w:tcPr>
            <w:tcW w:w="340" w:type="dxa"/>
            <w:vAlign w:val="bottom"/>
            <w:gridSpan w:val="3"/>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20" w:type="dxa"/>
            <w:vAlign w:val="bottom"/>
            <w:tcBorders>
              <w:left w:val="single" w:sz="8" w:color="0E32E1"/>
            </w:tcBorders>
            <w:gridSpan w:val="2"/>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Cash Flows for the nine months ended September 30, 2026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E32E1"/>
            </w:tcBorders>
            <w:gridSpan w:val="8"/>
          </w:tcPr>
          <w:p>
            <w:pPr>
              <w:spacing w:after="0" w:line="142" w:lineRule="exact"/>
              <w:rPr>
                <w:sz w:val="20"/>
                <w:szCs w:val="20"/>
                <w:color w:val="auto"/>
              </w:rPr>
            </w:pPr>
            <w:r>
              <w:rPr>
                <w:rFonts w:ascii="Times New Roman" w:cs="Times New Roman" w:eastAsia="Times New Roman" w:hAnsi="Times New Roman"/>
                <w:sz w:val="16"/>
                <w:szCs w:val="16"/>
                <w:color w:val="0E32E1"/>
              </w:rPr>
              <w:t>September 30, 2025</w:t>
            </w:r>
          </w:p>
        </w:tc>
        <w:tc>
          <w:tcPr>
            <w:tcW w:w="6460" w:type="dxa"/>
            <w:vAlign w:val="bottom"/>
            <w:tcBorders>
              <w:top w:val="single" w:sz="8" w:color="0E32E1"/>
            </w:tcBorders>
            <w:gridSpan w:val="8"/>
          </w:tcPr>
          <w:p>
            <w:pPr>
              <w:spacing w:after="0"/>
              <w:rPr>
                <w:sz w:val="13"/>
                <w:szCs w:val="13"/>
                <w:color w:val="auto"/>
              </w:rPr>
            </w:pPr>
          </w:p>
        </w:tc>
        <w:tc>
          <w:tcPr>
            <w:tcW w:w="680" w:type="dxa"/>
            <w:vAlign w:val="bottom"/>
            <w:gridSpan w:val="4"/>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E32E1"/>
          </w:tcPr>
          <w:p>
            <w:pPr>
              <w:spacing w:after="0"/>
              <w:rPr>
                <w:sz w:val="2"/>
                <w:szCs w:val="2"/>
                <w:color w:val="auto"/>
              </w:rPr>
            </w:pPr>
          </w:p>
        </w:tc>
        <w:tc>
          <w:tcPr>
            <w:tcW w:w="300" w:type="dxa"/>
            <w:vAlign w:val="bottom"/>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shd w:val="clear" w:color="auto" w:fill="0E32E1"/>
          </w:tcPr>
          <w:p>
            <w:pPr>
              <w:spacing w:after="0"/>
              <w:rPr>
                <w:sz w:val="2"/>
                <w:szCs w:val="2"/>
                <w:color w:val="auto"/>
              </w:rPr>
            </w:pPr>
          </w:p>
        </w:tc>
        <w:tc>
          <w:tcPr>
            <w:tcW w:w="440" w:type="dxa"/>
            <w:vAlign w:val="bottom"/>
            <w:tcBorders>
              <w:left w:val="single" w:sz="8" w:color="0E32E1"/>
            </w:tcBorders>
            <w:gridSpan w:val="4"/>
            <w:shd w:val="clear" w:color="auto" w:fill="0E32E1"/>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4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6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90"/>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9"/>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5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6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5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714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4"/>
          </w:tcPr>
          <w:p>
            <w:pPr>
              <w:spacing w:after="0"/>
              <w:rPr>
                <w:sz w:val="24"/>
                <w:szCs w:val="24"/>
                <w:color w:val="auto"/>
              </w:rPr>
            </w:pPr>
          </w:p>
        </w:tc>
        <w:tc>
          <w:tcPr>
            <w:tcW w:w="714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5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24"/>
                <w:szCs w:val="24"/>
                <w:color w:val="auto"/>
              </w:rPr>
            </w:pPr>
          </w:p>
        </w:tc>
        <w:tc>
          <w:tcPr>
            <w:tcW w:w="758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154,673</w:t>
            </w: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0" w:type="dxa"/>
            <w:vAlign w:val="bottom"/>
          </w:tcPr>
          <w:p>
            <w:pPr>
              <w:spacing w:after="0"/>
              <w:rPr>
                <w:sz w:val="1"/>
                <w:szCs w:val="1"/>
                <w:color w:val="auto"/>
              </w:rPr>
            </w:pPr>
          </w:p>
        </w:tc>
      </w:tr>
      <w:tr>
        <w:trPr>
          <w:trHeight w:val="237"/>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216,192</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93,164</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40,812</w:t>
            </w:r>
          </w:p>
        </w:tc>
        <w:tc>
          <w:tcPr>
            <w:tcW w:w="0" w:type="dxa"/>
            <w:vAlign w:val="bottom"/>
          </w:tcPr>
          <w:p>
            <w:pPr>
              <w:spacing w:after="0"/>
              <w:rPr>
                <w:sz w:val="1"/>
                <w:szCs w:val="1"/>
                <w:color w:val="auto"/>
              </w:rPr>
            </w:pPr>
          </w:p>
        </w:tc>
      </w:tr>
      <w:tr>
        <w:trPr>
          <w:trHeight w:val="237"/>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597,463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37"/>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124,308</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165,143</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35,081</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343,136</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Common stock, $0.01 par value, 200,000,000 shares authorized, 31,863,024 and 31,567,434 shares issued</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256,863</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earnings</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235,104</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6"/>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235,645</w:t>
            </w:r>
          </w:p>
        </w:tc>
        <w:tc>
          <w:tcPr>
            <w:tcW w:w="0" w:type="dxa"/>
            <w:vAlign w:val="bottom"/>
          </w:tcPr>
          <w:p>
            <w:pPr>
              <w:spacing w:after="0"/>
              <w:rPr>
                <w:sz w:val="1"/>
                <w:szCs w:val="1"/>
                <w:color w:val="auto"/>
              </w:rPr>
            </w:pPr>
          </w:p>
        </w:tc>
      </w:tr>
      <w:tr>
        <w:trPr>
          <w:trHeight w:val="237"/>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597,463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8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1"/>
        </w:trPr>
        <w:tc>
          <w:tcPr>
            <w:tcW w:w="5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r>
      <w:tr>
        <w:trPr>
          <w:trHeight w:val="24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372,851</w:t>
            </w:r>
          </w:p>
        </w:tc>
      </w:tr>
      <w:tr>
        <w:trPr>
          <w:trHeight w:val="24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153,030</w:t>
            </w:r>
          </w:p>
        </w:tc>
      </w:tr>
      <w:tr>
        <w:trPr>
          <w:trHeight w:val="24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108,923</w:t>
            </w:r>
          </w:p>
        </w:tc>
      </w:tr>
      <w:tr>
        <w:trPr>
          <w:trHeight w:val="24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r>
      <w:tr>
        <w:trPr>
          <w:trHeight w:val="24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4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43"/>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r>
      <w:tr>
        <w:trPr>
          <w:trHeight w:val="237"/>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r>
      <w:tr>
        <w:trPr>
          <w:trHeight w:val="24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w:t>
            </w:r>
          </w:p>
        </w:tc>
      </w:tr>
      <w:tr>
        <w:trPr>
          <w:trHeight w:val="24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r>
      <w:tr>
        <w:trPr>
          <w:trHeight w:val="189"/>
        </w:trPr>
        <w:tc>
          <w:tcPr>
            <w:tcW w:w="54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Less: net (loss) income attributable to noncontrolling interests, net of</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Mistras Group, Inc.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31,361</w:t>
            </w:r>
          </w:p>
        </w:tc>
      </w:tr>
      <w:tr>
        <w:trPr>
          <w:trHeight w:val="243"/>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3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4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w:t>
            </w:r>
          </w:p>
        </w:tc>
      </w:tr>
      <w:tr>
        <w:trPr>
          <w:trHeight w:val="189"/>
        </w:trPr>
        <w:tc>
          <w:tcPr>
            <w:tcW w:w="46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Less: net (loss) income attributable to noncontrolling</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189"/>
        </w:trPr>
        <w:tc>
          <w:tcPr>
            <w:tcW w:w="46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Less: Foreign currency translation adjustments attributable to</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6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Mistras Group, Inc.</w:t>
            </w:r>
          </w:p>
        </w:tc>
        <w:tc>
          <w:tcPr>
            <w:tcW w:w="100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800" w:type="dxa"/>
            <w:vAlign w:val="bottom"/>
          </w:tcPr>
          <w:p>
            <w:pPr>
              <w:spacing w:after="0"/>
              <w:rPr>
                <w:sz w:val="24"/>
                <w:szCs w:val="24"/>
                <w:color w:val="auto"/>
              </w:rPr>
            </w:pPr>
          </w:p>
        </w:tc>
        <w:tc>
          <w:tcPr>
            <w:tcW w:w="16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8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8"/>
                <w:szCs w:val="8"/>
                <w:color w:val="auto"/>
              </w:rPr>
            </w:pPr>
          </w:p>
        </w:tc>
        <w:tc>
          <w:tcPr>
            <w:tcW w:w="8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60" w:type="dxa"/>
            <w:vAlign w:val="bottom"/>
          </w:tcPr>
          <w:p>
            <w:pPr>
              <w:spacing w:after="0"/>
              <w:rPr>
                <w:sz w:val="8"/>
                <w:szCs w:val="8"/>
                <w:color w:val="auto"/>
              </w:rPr>
            </w:pPr>
          </w:p>
        </w:tc>
        <w:tc>
          <w:tcPr>
            <w:tcW w:w="118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Mistras Group,</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Inc.</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Total equity</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earnings (deficit)</w:t>
            </w:r>
          </w:p>
        </w:tc>
        <w:tc>
          <w:tcPr>
            <w:tcW w:w="8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258,838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239,963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240,176</w:t>
            </w:r>
          </w:p>
        </w:tc>
        <w:tc>
          <w:tcPr>
            <w:tcW w:w="0" w:type="dxa"/>
            <w:vAlign w:val="bottom"/>
          </w:tcPr>
          <w:p>
            <w:pPr>
              <w:spacing w:after="0"/>
              <w:rPr>
                <w:sz w:val="1"/>
                <w:szCs w:val="1"/>
                <w:color w:val="auto"/>
              </w:rPr>
            </w:pPr>
          </w:p>
        </w:tc>
      </w:tr>
      <w:tr>
        <w:trPr>
          <w:trHeight w:val="181"/>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6,909</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0" w:type="dxa"/>
            <w:vAlign w:val="bottom"/>
          </w:tcPr>
          <w:p>
            <w:pPr>
              <w:spacing w:after="0"/>
              <w:rPr>
                <w:sz w:val="1"/>
                <w:szCs w:val="1"/>
                <w:color w:val="auto"/>
              </w:rPr>
            </w:pPr>
          </w:p>
        </w:tc>
      </w:tr>
      <w:tr>
        <w:trPr>
          <w:trHeight w:val="181"/>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89"/>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(36,710)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248,228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248,403</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253,879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(28,343)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215,848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216,175</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13,203</w:t>
            </w:r>
          </w:p>
        </w:tc>
        <w:tc>
          <w:tcPr>
            <w:tcW w:w="0" w:type="dxa"/>
            <w:vAlign w:val="bottom"/>
          </w:tcPr>
          <w:p>
            <w:pPr>
              <w:spacing w:after="0"/>
              <w:rPr>
                <w:sz w:val="1"/>
                <w:szCs w:val="1"/>
                <w:color w:val="auto"/>
              </w:rPr>
            </w:pPr>
          </w:p>
        </w:tc>
      </w:tr>
      <w:tr>
        <w:trPr>
          <w:trHeight w:val="181"/>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0" w:type="dxa"/>
            <w:vAlign w:val="bottom"/>
          </w:tcPr>
          <w:p>
            <w:pPr>
              <w:spacing w:after="0"/>
              <w:rPr>
                <w:sz w:val="1"/>
                <w:szCs w:val="1"/>
                <w:color w:val="auto"/>
              </w:rPr>
            </w:pPr>
          </w:p>
        </w:tc>
      </w:tr>
      <w:tr>
        <w:trPr>
          <w:trHeight w:val="18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227,826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20955</wp:posOffset>
            </wp:positionV>
            <wp:extent cx="5332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p>
      <w:pPr>
        <w:spacing w:after="0" w:line="283" w:lineRule="exact"/>
        <w:rPr>
          <w:sz w:val="20"/>
          <w:szCs w:val="20"/>
          <w:color w:val="auto"/>
        </w:rPr>
      </w:pPr>
    </w:p>
    <w:tbl>
      <w:tblPr>
        <w:tblLayout w:type="fixed"/>
        <w:tblInd w:w="2800" w:type="dxa"/>
        <w:tblCellMar>
          <w:top w:w="0" w:type="dxa"/>
          <w:left w:w="0" w:type="dxa"/>
          <w:bottom w:w="0" w:type="dxa"/>
          <w:right w:w="0" w:type="dxa"/>
        </w:tblCellMar>
      </w:tblPr>
      <w:tr>
        <w:trPr>
          <w:trHeight w:val="176"/>
        </w:trPr>
        <w:tc>
          <w:tcPr>
            <w:tcW w:w="15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r>
      <w:tr>
        <w:trPr>
          <w:trHeight w:val="183"/>
        </w:trPr>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earnings (deficit)</w:t>
            </w: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00" w:type="dxa"/>
            <w:vAlign w:val="bottom"/>
            <w:gridSpan w:val="2"/>
            <w:vMerge w:val="continue"/>
          </w:tcPr>
          <w:p>
            <w:pPr>
              <w:spacing w:after="0"/>
              <w:rPr>
                <w:sz w:val="10"/>
                <w:szCs w:val="10"/>
                <w:color w:val="auto"/>
              </w:rPr>
            </w:pPr>
          </w:p>
        </w:tc>
        <w:tc>
          <w:tcPr>
            <w:tcW w:w="12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2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Inc.</w:t>
            </w:r>
          </w:p>
        </w:tc>
        <w:tc>
          <w:tcPr>
            <w:tcW w:w="12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80" w:space="120"/>
            <w:col w:w="4700"/>
          </w:cols>
          <w:pgMar w:left="340" w:top="887" w:right="359" w:bottom="1440" w:gutter="0" w:footer="0" w:header="0"/>
          <w:type w:val="continuous"/>
        </w:sectPr>
      </w:pP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256,863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235,104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235,645</w:t>
            </w:r>
          </w:p>
        </w:tc>
      </w:tr>
      <w:tr>
        <w:trPr>
          <w:trHeight w:val="181"/>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16,818</w:t>
            </w:r>
          </w:p>
        </w:tc>
      </w:tr>
      <w:tr>
        <w:trPr>
          <w:trHeight w:val="19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(7,724)</w:t>
            </w:r>
          </w:p>
        </w:tc>
      </w:tr>
      <w:tr>
        <w:trPr>
          <w:trHeight w:val="181"/>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5,527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5,527</w:t>
            </w:r>
          </w:p>
        </w:tc>
      </w:tr>
      <w:tr>
        <w:trPr>
          <w:trHeight w:val="19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83"/>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w:t>
            </w:r>
          </w:p>
        </w:tc>
      </w:tr>
      <w:tr>
        <w:trPr>
          <w:trHeight w:val="214"/>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260,463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248,403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250,832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198,568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198,895</w:t>
            </w:r>
          </w:p>
        </w:tc>
      </w:tr>
      <w:tr>
        <w:trPr>
          <w:trHeight w:val="181"/>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13,161</w:t>
            </w:r>
          </w:p>
        </w:tc>
      </w:tr>
      <w:tr>
        <w:trPr>
          <w:trHeight w:val="19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11,227</w:t>
            </w:r>
          </w:p>
        </w:tc>
      </w:tr>
      <w:tr>
        <w:trPr>
          <w:trHeight w:val="181"/>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6,067</w:t>
            </w:r>
          </w:p>
        </w:tc>
      </w:tr>
      <w:tr>
        <w:trPr>
          <w:trHeight w:val="19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r>
      <w:tr>
        <w:trPr>
          <w:trHeight w:val="189"/>
        </w:trPr>
        <w:tc>
          <w:tcPr>
            <w:tcW w:w="2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31,548</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255,297</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2,955</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(31,328)</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227,404</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227,826</w:t>
            </w:r>
          </w:p>
        </w:tc>
      </w:tr>
      <w:tr>
        <w:trPr>
          <w:trHeight w:val="20"/>
        </w:trPr>
        <w:tc>
          <w:tcPr>
            <w:tcW w:w="2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8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16,818</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25,115</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29,436</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(21,762)</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(24,971)</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(9,838)</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58,850</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 to non-controlling interests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(12,288)</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(9,021)</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28,008</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top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18,987</w:t>
            </w:r>
          </w:p>
        </w:tc>
        <w:tc>
          <w:tcPr>
            <w:tcW w:w="120" w:type="dxa"/>
            <w:vAlign w:val="bottom"/>
          </w:tcPr>
          <w:p>
            <w:pPr>
              <w:spacing w:after="0"/>
              <w:rPr>
                <w:sz w:val="16"/>
                <w:szCs w:val="16"/>
                <w:color w:val="auto"/>
              </w:rPr>
            </w:pPr>
          </w:p>
        </w:tc>
        <w:tc>
          <w:tcPr>
            <w:tcW w:w="102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2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12,375</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included in accounts payable and accrued liabilities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24"/>
                <w:szCs w:val="24"/>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985 </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1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global leader in technology-enabled industrial asset integrity solutions, serving critical industries including oil &amp; gas, aerospace &amp; defense, power &amp; utilities, manufacturing, and civil infrastructure.</w:t>
      </w:r>
    </w:p>
    <w:p>
      <w:pPr>
        <w:spacing w:after="0" w:line="189"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integrity data for predictive analytics and benchmark analysis. With a long-standing track record of innovation and deep industry expertise, the Company helps clients reduce risk, extend asset life, and optimize operational performance.</w:t>
      </w:r>
    </w:p>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core capabilities include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4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On September 17, 2026, the Company entered into an Agreement and Plan of Merger (the “Merger Agreement”) with Athena Purchaser, LLC, a Delaware limited liability company (“Parent”), and Athena Merger Sub, Inc., a Delaware corporation and a wholly owned subsidiary of Parent (“Acquisition Sub”), pursuant to which, subject to the terms and conditions of the Merger Agreement, Acquisition Sub will be merged with and into the Company (the “Merger”), with the Company surviving the Merger as a wholly owned subsidiary of Parent. Parent and Acquisition Sub are controlled by funds affiliated with H.I.G. Capital (“H.I.G.”).</w:t>
      </w:r>
    </w:p>
    <w:p>
      <w:pPr>
        <w:spacing w:after="0" w:line="19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(the “Effective Time”), each share of the Company’s common stock, par value $0.01 per share, issued and outstanding immediately prior to the Effective Time (other than (i) shares held by the Company as treasury stock or held directly by Parent or Acquisition Sub, which will be automatically cancelled for no consideration, and (ii) shares held by stockholders who have properly exercised and not withdrawn their appraisal rights under Section 262 of the General Corporation Law of the State of Delaware) will be automatically converted into the right to receive $20.35 in cash, without interest.</w:t>
      </w:r>
    </w:p>
    <w:p>
      <w:pPr>
        <w:spacing w:after="0" w:line="222"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Merger is expected to close in late 2026 or early 2027, subject to, among other things, approval of the Merger by the Company’s stockholders, expiration or termination of the applicable waiting period under the Hart-Scott-Rodino Antitrust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Improvements Act of 1976, as amended (the “HSR Act”), the receipt of certain required regulatory approvals, and the satisfaction or waiver of certain other customary closing conditions. Effective October 22, 2026, the Federal Trade Commission granted early termination of the HSR Act waiting period. If the Merger is completed, the Company’s common stock will be delisted from the New York Stock Exchange (the "NYSE") and deregistered under the Securities Exchange Act of 1934, as amended (the “Exchange Act”).</w:t>
      </w:r>
    </w:p>
    <w:p>
      <w:pPr>
        <w:spacing w:after="0" w:line="20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subject to, and qualified in its entirety by, the full text of the Merger Agreement, a copy of which is filed as Exhibit 2.1 to this Quarterly Report on Form 10-Q and is incorporated herein by reference.</w:t>
      </w:r>
    </w:p>
    <w:p>
      <w:pPr>
        <w:spacing w:after="0" w:line="17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On August 5, 2026, the Company entered into an amendment (the “Amendment”) to its credit agreement dated August 1, 2022 (as amended, the "Credit Agreement") with the lenders party thereto and JPMorgan Chase Bank, N.A., as administrative agent. The Amendment extended the maturity date of the revolving credit facility and term loan under the Credit Agreement from July 30, 2027 to July 28, 2028. The terms related to the Amendment are described in Note 11 -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global trade landscape continues to be highly volatile. During 2025, the U.S. government implemented a series of trade tariffs on goods imported into the U.S. from various countries, many of which prompted reciprocal tariffs and other trade measures affecting U.S. exports. The ongoing tariff environment remains complex and continues to evolve as legal proceedings and trade negotiations progress. In February 2026, the U.S. Supreme Court ruled that the International Emergency Economic Powers Act ("IEEPA"), which the U.S. government relied upon to impose certain tariffs, does not authorize the imposition of tariffs. Following that decision, the U.S. Court of International Trade directed the U.S. Customs and Border Protection ("CBP") to begin processing refunds of previously collected IEEPA tariffs, and CBP has since processed refund claims in phases, most recently commencing in October 2026 the processing of refunds for certain finally liquidated entries. In October 2026, the U.S. Court of International Trade also certified a class of importers seeking IEEPA tariff refunds and the U.S. government’s appeals in the refund litigation remain pending. In response to the U.S. Supreme Court's ruling, the U.S. administration implemented replacement tariffs under alternative statutory authorities, including a temporary tariff under Section 122 of the Trade Act of 1974, which expired on July 24, 2026 at the end of its 150-day statutory period. The U.S. Court of International Trade ruled against the Section 122 tariffs, but that ruling has been stayed pending appeal, and the related litigation remains ongoing. Effective July 24, 2026, the U.S. administration implemented additional tariffs ranging from 10% to 12.5% on imports from numerous trading partners under Section 301 of the Trade Act of 1974, which are also subject to legal challenge. Accordingly, the ultimate scope, duration and financial impact of U.S. trade measures remain uncertain. Ongoing changes to trade policies and related uncertainty may affect global economic conditions, supply chains and costs, and may reduce trade between the U.S. and impacted countries. Tariffs and trade barriers have not had a material effect on our business or results of operations during 2026 to date. However, new tariffs or other trade measures could result in increased costs for us or our suppliers and could impact the import of materials by our customers, including materials subject to our inspection and testing services, which could adversely affect demand for our services.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Geopolitical tensions in the Middle East, including the conflict involving the U.S. and Iran that began in February 2026, have contributed to increased volatility in global energy markets and broader macroeconomic uncertainty. The conflict has disrupted shipping through the Strait of Hormuz and increased uncertainty surrounding global energy supplies, international shipping routes and supply chains, contributing to fluctuations in oil and natural gas prices and increased costs for certain materials and transportation. Efforts to resolve the conflict have not been successful to date, and renewed escalation remains possible. Fluctuations in crude oil and natural gas prices may influence capital spending and maintenance activity by customers in the oil and gas sector, which could affect demand for certain of our services, particularly field inspection and asset integrity solutions. Additionally, continued instability in the Middle East could contribute to supply chain disruptions, changes in foreign currency exchange rates, and delays in customer projects. While we have not experienced material impacts to date, the situation remains dynamic, and we continue to monitor developments and assess potential impacts on our operations,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 ended December 31, 2025 and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for the year ended December 31, 2025 (the "2025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consolidated subsidiaries in which the Company’s ownership interest is less than 100%, the non-controlling interests are reported in stockholders’ equity in the accompanying Unaudited Condensed Consolidated Balance Sheets. The non-controlling interests in net results, net of tax, are classified separately in the accompanying Unaudited Condensed Consolidated Statements of Income. All significant intercompany accounts and transactions have been eliminated in 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affect the Company's consolidated financial condition or results of operations as previously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Note 1 – </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2025 Annual Report. On an ongoing basis, the Company evaluates its estimates and assumptions, including among other things, those related to revenue recognition, long-lived assets, goodwill and acquisitions. Since the date of the 2025 Annual Report, there have been no material changes to the Company’s significant accounting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2026, management concluded that it is more likely than not that a substantial portion of the Company's deferred tax assets will be realized.</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37.7% and 22.3% for the three months ended September 30, 2026 and 2025, respectively. The Company’s effective income tax rate was approximately 28.8% and 21.9% for the nine months ended September 30, 2026 and 2025, respectively.</w:t>
      </w: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2026, was higher than the statutory rate primarily due to non-deductible transaction costs. The effective income tax rate for the three months ended September 30, 2025, was higher than the statutory rate primarily due to the impact of foreign currency losses.</w:t>
      </w:r>
    </w:p>
    <w:p>
      <w:pPr>
        <w:spacing w:after="0" w:line="217"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2026, was higher than the statutory rate primarily due to non-deductible transactions costs. The effective income tax rate for the nine months ended September 30, 2025, was higher than the statutory rate primarily due to the impact of foreign currency losses.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These tax reform provisions include the extension and modification of certain provisions of the Tax Cuts and Jobs Act and were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three and nine months ended September 30,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November 4, 2024, the FASB issued ASU 2024-03, Income Statement - Reporting Comprehensive Income (Topic 220): Expense Disaggregation Disclosures, to require disaggregation of certain expense captions into specified categories in disclosures within the notes of the financial statements. The standard is effective for annual periods beginning after December 15, 2026 and interim periods beginning after December 15, 2027. Early adoption is permitted. The guidance is required to be applied prospectively and amendments in the ASU may be applied prospectively or retrospectively. We are currently evaluating the impact this standard will have on our disclosures.</w:t>
      </w:r>
    </w:p>
    <w:p>
      <w:pPr>
        <w:spacing w:after="0" w:line="19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 Use Software (ASU 2025-06). This standard clarifies capitalization thresholds for software development costs and aligns accounting treatment more closely with the economic substance of modern software development activities. ASU 2025-06 is effective for annual and interim periods beginning after December 15, 2027 on a retrospective, prospective or modified prospective basis. Early adoption is permitted. We are currently evaluating the impact this standard will have on our disclosures.</w:t>
      </w:r>
    </w:p>
    <w:p>
      <w:pPr>
        <w:spacing w:after="0" w:line="211"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 Scope Improvements (ASU 2025-11). This standard clarifies disclosure requirements and applicability for interim financial statements. This new guidance is effective for the Company for interim periods within annual reporting periods beginning after December 15, 2027. Early adoption is permitted. The amendments in this ASU may be adopted using the prospective or retrospective methods. We are currently evaluating the impact this standard will have on our disclosures.</w:t>
      </w:r>
    </w:p>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materials basis, which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Company's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majority of the Company's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an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99,406</w:t>
            </w:r>
          </w:p>
        </w:tc>
      </w:tr>
      <w:tr>
        <w:trPr>
          <w:trHeight w:val="243"/>
        </w:trPr>
        <w:tc>
          <w:tcPr>
            <w:tcW w:w="2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28,551</w:t>
            </w: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24,694</w:t>
            </w:r>
          </w:p>
        </w:tc>
      </w:tr>
      <w:tr>
        <w:trPr>
          <w:trHeight w:val="243"/>
        </w:trPr>
        <w:tc>
          <w:tcPr>
            <w:tcW w:w="2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15,887</w:t>
            </w: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r>
      <w:tr>
        <w:trPr>
          <w:trHeight w:val="243"/>
        </w:trPr>
        <w:tc>
          <w:tcPr>
            <w:tcW w:w="2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w:t>
            </w: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43"/>
        </w:trPr>
        <w:tc>
          <w:tcPr>
            <w:tcW w:w="20" w:type="dxa"/>
            <w:vAlign w:val="bottom"/>
          </w:tcPr>
          <w:p>
            <w:pPr>
              <w:spacing w:after="0"/>
              <w:rPr>
                <w:sz w:val="21"/>
                <w:szCs w:val="21"/>
                <w:color w:val="auto"/>
              </w:rPr>
            </w:pPr>
          </w:p>
        </w:tc>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62"/>
        </w:trPr>
        <w:tc>
          <w:tcPr>
            <w:tcW w:w="20" w:type="dxa"/>
            <w:vAlign w:val="bottom"/>
          </w:tcPr>
          <w:p>
            <w:pPr>
              <w:spacing w:after="0"/>
              <w:rPr>
                <w:sz w:val="22"/>
                <w:szCs w:val="22"/>
                <w:color w:val="auto"/>
              </w:rPr>
            </w:pPr>
          </w:p>
        </w:tc>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204,621</w:t>
            </w: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105,669</w:t>
            </w: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r>
      <w:tr>
        <w:trPr>
          <w:trHeight w:val="243"/>
        </w:trPr>
        <w:tc>
          <w:tcPr>
            <w:tcW w:w="2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w:t>
            </w: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r>
      <w:tr>
        <w:trPr>
          <w:trHeight w:val="243"/>
        </w:trPr>
        <w:tc>
          <w:tcPr>
            <w:tcW w:w="2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r>
      <w:tr>
        <w:trPr>
          <w:trHeight w:val="243"/>
        </w:trPr>
        <w:tc>
          <w:tcPr>
            <w:tcW w:w="2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r>
      <w:tr>
        <w:trPr>
          <w:trHeight w:val="243"/>
        </w:trPr>
        <w:tc>
          <w:tcPr>
            <w:tcW w:w="20" w:type="dxa"/>
            <w:vAlign w:val="bottom"/>
            <w:tcBorders>
              <w:bottom w:val="single" w:sz="8" w:color="CCEEFF"/>
            </w:tcBorders>
          </w:tcPr>
          <w:p>
            <w:pPr>
              <w:spacing w:after="0"/>
              <w:rPr>
                <w:sz w:val="21"/>
                <w:szCs w:val="21"/>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r>
      <w:tr>
        <w:trPr>
          <w:trHeight w:val="256"/>
        </w:trPr>
        <w:tc>
          <w:tcPr>
            <w:tcW w:w="20" w:type="dxa"/>
            <w:vAlign w:val="bottom"/>
            <w:shd w:val="clear" w:color="auto" w:fill="CCEEFF"/>
          </w:tcPr>
          <w:p>
            <w:pPr>
              <w:spacing w:after="0"/>
              <w:rPr>
                <w:sz w:val="22"/>
                <w:szCs w:val="22"/>
                <w:color w:val="auto"/>
              </w:rPr>
            </w:pPr>
          </w:p>
        </w:tc>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252,729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279,236</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83,358</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37,323</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45,472</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r>
      <w:tr>
        <w:trPr>
          <w:trHeight w:val="24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(16,674)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18,109</w:t>
            </w:r>
          </w:p>
        </w:tc>
      </w:tr>
      <w:tr>
        <w:trPr>
          <w:trHeight w:val="262"/>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(16,674)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566,787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305,049</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68,613</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r>
      <w:tr>
        <w:trPr>
          <w:trHeight w:val="24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w:t>
            </w:r>
          </w:p>
        </w:tc>
      </w:tr>
      <w:tr>
        <w:trPr>
          <w:trHeight w:val="262"/>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38,547</w:t>
            </w:r>
          </w:p>
        </w:tc>
      </w:tr>
      <w:tr>
        <w:trPr>
          <w:trHeight w:val="24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62"/>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134,972</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23,019</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61"/>
        </w:trPr>
        <w:tc>
          <w:tcPr>
            <w:tcW w:w="3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6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401,271</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110,821</w:t>
            </w:r>
          </w:p>
        </w:tc>
      </w:tr>
      <w:tr>
        <w:trPr>
          <w:trHeight w:val="24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61"/>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566,787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383,726</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53,079</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99,347</w:t>
            </w:r>
          </w:p>
        </w:tc>
      </w:tr>
      <w:tr>
        <w:trPr>
          <w:trHeight w:val="24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r>
      <w:tr>
        <w:trPr>
          <w:trHeight w:val="262"/>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Unaudited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Unaudited Condensed Consolidated Balance Sheets at the end of each reporting period within accounts receivable, net or accrued expenses and other current liabilities.</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Revenue recognized during the nine months ended September 30, 2026 and 2025 that was included in the contract liability balance at the beginning of the year was $7.6 million and $6.8 million, respectively. Changes in the contract asset and liability balances during these periods were not materially impacted by any other factors. The Company applies the practical expedient to expense incremental costs incurred related to obtaining a contract when the amortization period of the asset that the Company otherwise would have recognized is one year or less.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Amended and Restated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19, 2026, the Company’s shareholders approved an amendment to increase the total number of shares that may be issued under the 2016 Plan by 1.7 million shares, for a total of 7.9 million shares that are authorized for issuance under the 2016 Plan, of which approximately 2,031,000 shares were available for future grants as of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6, 2025, an executive officer of the Company was granted a stock option for the purchase of 375,000 shares of the Company's common stock at an exercise price of $9.06, the closing price of the Company's common stock on the NYSE on the grant date. These stock options can be exercised any time on or after January 6, 2026, and prior to their expiration date, which is the earlier of 10 years from the grant date or one year following the date the executive officer is no longer serving as an officer, director or in any other capacity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stock option activity, weighted-average exercise prices and options outstanding as of September 30, 2026 (in thousands, except per share amounts and years):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4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4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recognized $0.0 million and $0.5 million of share-based compensation expense related to stock options during the three months ended September 30, 2026 and 2025, respectively. The Company recognized $0.2 million and $1.5 million of share-based compensation expense related to stock options during the nine months ended September 30, 2026 and 2025, respectively. As of the end of the current period, there is no remaining unrecognized share-based compensation expense related to stock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issues fully-vested common stock to its non-employee directors. The awards are issued to non-employee directors during the second quarter of each fiscal year. A summary of the fully-vested common stock issued by the Company to its non-employee directors, in connection with its non-employee director compensation during the nine months ended September 30, 2026 and 2025 is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7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040" w:type="dxa"/>
            <w:vAlign w:val="bottom"/>
          </w:tcPr>
          <w:p>
            <w:pPr>
              <w:spacing w:after="0"/>
              <w:rPr>
                <w:sz w:val="16"/>
                <w:szCs w:val="16"/>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 to non-employee directors</w:t>
            </w: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1"/>
                <w:szCs w:val="21"/>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2026 and 2025, the Company recognized share-based compensation expense within Selling, general and administrative expenses related to Restricted Stock Unit ("RSU") awards of $0.8 million and $0.7 million, respectively. For the nine months ended September 30, 2026 and 2025, the Company recognized share-based compensation expense within Selling, general and administrative expenses related to RSU awards of $2.5 million and $2.8 million, respectively. No share-based compensation expense was recognized within Reorganization and other costs related to RSU awards for the three or nine months ended September 30, 2026. For the nine months ended September 30, 2025, the Company recognized share-based compensation expense within Reorganization and other costs related to RSU awards of $0.5 million. As of September 30, 2026, there was $7.8 million of unrecognized compensation costs related to RSU awards, which is expected to be recognized over a remaining weighted-average period of 2.6 years. Upon vesting, RSUs are generally net share-settled to cover the required withholding tax and the remaining amount is converted into an equivalent number of shares of common stock. Upon completion of the Merger Agreement, as described in Note 1 - </w:t>
      </w:r>
      <w:r>
        <w:rPr>
          <w:rFonts w:ascii="Times New Roman" w:cs="Times New Roman" w:eastAsia="Times New Roman" w:hAnsi="Times New Roman"/>
          <w:sz w:val="18"/>
          <w:szCs w:val="18"/>
          <w:b w:val="1"/>
          <w:bCs w:val="1"/>
          <w:i w:val="1"/>
          <w:iCs w:val="1"/>
          <w:color w:val="auto"/>
        </w:rPr>
        <w:t>Description of Business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each outstanding RSU will be converted into the right to receive cash consideration in accordance with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RSU awards, with the respective fair value of the awards,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040" w:type="dxa"/>
            <w:vAlign w:val="bottom"/>
          </w:tcPr>
          <w:p>
            <w:pPr>
              <w:spacing w:after="0"/>
              <w:rPr>
                <w:sz w:val="16"/>
                <w:szCs w:val="16"/>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 awards vested</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20" w:type="dxa"/>
            <w:vAlign w:val="bottom"/>
          </w:tcPr>
          <w:p>
            <w:pPr>
              <w:spacing w:after="0"/>
              <w:rPr>
                <w:sz w:val="21"/>
                <w:szCs w:val="21"/>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5,628</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RSUs is as follows:</w:t>
      </w:r>
    </w:p>
    <w:p>
      <w:pPr>
        <w:spacing w:after="0" w:line="30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33655</wp:posOffset>
            </wp:positionV>
            <wp:extent cx="40805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7"/>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the ultimate payout of which may vary between zero and 200% of the target award, based on the Company’s performance over a one-year period based on specific metrics approved by the Compensation Committee of the Board of Directors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2026, the Compensation Committee is using the following three performance metrics for PRSU awards.</w:t>
      </w:r>
    </w:p>
    <w:p>
      <w:pPr>
        <w:spacing w:after="0" w:line="250" w:lineRule="exact"/>
        <w:rPr>
          <w:sz w:val="20"/>
          <w:szCs w:val="20"/>
          <w:color w:val="auto"/>
        </w:rPr>
      </w:pPr>
    </w:p>
    <w:p>
      <w:pPr>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2026, the Compensation Committee utilized the same metrics as 2025 PRSUs, but with revised performance goals and weighting.</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Earned PRSUs generally vest ratably in four equal annual installments over the four years following completion of the performance period, for a total requisite service period of up to five years, and have no dividend equivalent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30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33655</wp:posOffset>
            </wp:positionV>
            <wp:extent cx="40805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2026 and 2025, the Company recognized aggregate share-based compensation expense related to the stock awards described above of approximately $1.0 million and $0.3 million, respectively. For the nine months ended September 30, 2026 and 2025, the Company recognized aggregate share-based compensation expense related to the stock awards described above of approximately $2.5 million and $0.9 million, respectively. At September 30, 2026, there was $4.9 million of total unrecognized compensation costs related to approximately 580,000 non-vested PRSUs, which is expected to be recognized over a remaining weighted-average period of 2.5 years. Upon completion of the Merger Agreement, as described in Note 1 - </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 xml:space="preserve"> each outstanding PRSU will be converted into the right to receive cash consideration in accordance with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8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assumed conversion of equity awards using the treasury stock method. With respect to the number of weighted-average shares outstanding (denominator), diluted shares reflect: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per share: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56"/>
        </w:trPr>
        <w:tc>
          <w:tcPr>
            <w:tcW w:w="4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Dilutive effect of stock options outstanding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62"/>
        </w:trPr>
        <w:tc>
          <w:tcPr>
            <w:tcW w:w="4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30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20" w:hanging="172"/>
        <w:spacing w:after="0" w:line="242" w:lineRule="auto"/>
        <w:tabs>
          <w:tab w:leader="none" w:pos="183"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September 30, 2025, 388,000 shares, related to stock options and 165,000 shares, related to restricted stock units were anti-dilutive and therefore were excluded from the calculation of diluted earnings per share. No shares related to restricted stock units or stock options were anti-dilutive for the three months ended September 30, 2026. For the nine months ended September 30, 2026, 6,000 shares related to RSUs were anti-dilutive and therefore were excluded from the calculation of diluted earnings per share. For the nine months ended September 30, 2025, 379,000 shares, related to stock options and 227,000 shares, related to restricted stock units were anti-dilutive and therefore were excluded from the calculation of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 - billed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133,100</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receivable - unbilled</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25,139</w:t>
            </w: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3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169,948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154,673</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Trade accounts receivable - unbilled are generally billed in the subsequent quarter to their revenue recognition. The Company considers Trade accounts receivable - unbilled as short-term in nature as they are normally converted to Trade accounts receivable - billed within 90 days, thus future changes in economic conditions will not have a significant effect on the credit loss estimate.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consumable supplies</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330,558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308,457</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(268,207)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(257,033)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September 30, 2026 and 2025 was approximately $6.8 million and $6.0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nine months ended September 30, 2026 and 2025 was $19.1 million and $18.1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r>
      <w:tr>
        <w:trPr>
          <w:trHeight w:val="24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5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that the fair value of a reporting unit may be less than its carrying amount.</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2025 and concluded that the fair value of each reporting unit exceeded its carrying amount. Additionally, through September 30, 2026, the Company did not identify any changes in circumstances that would indicate impairment of goodwill. Significant adverse changes in future periods could negatively affect the Company's key assumptions and may result in future goodwill impairment charges which could be material.</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2"/>
                <w:szCs w:val="12"/>
                <w:color w:val="auto"/>
              </w:rPr>
            </w:pPr>
          </w:p>
        </w:tc>
        <w:tc>
          <w:tcPr>
            <w:tcW w:w="8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00" w:type="dxa"/>
            <w:vAlign w:val="bottom"/>
          </w:tcPr>
          <w:p>
            <w:pPr>
              <w:jc w:val="center"/>
              <w:ind w:right="137"/>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56"/>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September 30, 2026 and 2025 was approximately $2.0 million and $1.7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nine months ended September 30, 2026 and 2025 was $6.0 million and $5.1 million, respectively.</w:t>
      </w:r>
    </w:p>
    <w:p>
      <w:pPr>
        <w:spacing w:after="0" w:line="24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w:t>
            </w:r>
          </w:p>
        </w:tc>
      </w:tr>
      <w:tr>
        <w:trPr>
          <w:trHeight w:val="24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33,102</w:t>
            </w:r>
          </w:p>
        </w:tc>
      </w:tr>
      <w:tr>
        <w:trPr>
          <w:trHeight w:val="261"/>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79,250</w:t>
            </w:r>
          </w:p>
        </w:tc>
      </w:tr>
      <w:tr>
        <w:trPr>
          <w:trHeight w:val="189"/>
        </w:trPr>
        <w:tc>
          <w:tcPr>
            <w:tcW w:w="7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secured term loan, net of unamortized debt issuance costs of $0.2 million and $0.2 million,</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96,711</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3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177,992</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37"/>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165,143</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2022, the Company entered into a credit agreement (as amended, the “Credit Agreement”), which provides the Company with a $190 million committed revolving credit facility and a $125 million term loan with a balance of $87.3 million, net of unamortized debt issuance costs, as of September 30, 2026. The Credit Agreement permits the Company to borrow up to $100 million in non-U.S. dollar currencies and to use up to $20 million of the credit limit for the issuance of letters of credit. As a result of the Amendment described below, as of September 30, 2026, both the revolving line of credit and the term loan under the Credit Agreement had a maturity date of July 28, 2028.</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52" w:lineRule="exact"/>
        <w:rPr>
          <w:sz w:val="20"/>
          <w:szCs w:val="20"/>
          <w:color w:val="auto"/>
        </w:rPr>
      </w:pPr>
    </w:p>
    <w:p>
      <w:pPr>
        <w:ind w:left="660" w:right="3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w:t>
      </w:r>
    </w:p>
    <w:p>
      <w:pPr>
        <w:ind w:left="1300" w:right="720" w:hanging="320"/>
        <w:spacing w:after="0" w:line="250"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3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20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Total Consolidated Debt Leverage Ratio of no more than 4.0 to 1.0 at the end of each quarter through June 30, 2023 and stepping down to a maximum permitted ratio of no more than 3.75 to 1.0 for the remainder of the term.</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Fixed Charge Coverage Ratio of 1.25 to 1.0 for the duration of the Credit Agreement, as defined in the Credit Agreement.</w:t>
      </w:r>
    </w:p>
    <w:p>
      <w:pPr>
        <w:spacing w:after="0" w:line="188"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2"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right="4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August 5, 2026, the Company entered into the Amendment to its Credit Agreement dated August 1, 2022, with the lenders party thereto and JPMorgan Chase Bank, N.A., as administrative agent. The Amendment extended the maturity date of the Company’s $190.0 million revolving credit facility and approximately $87.3 million outstanding term loan under the Credit Agreement from July 30, 2027 to July 28, 2028.</w:t>
      </w:r>
    </w:p>
    <w:p>
      <w:pPr>
        <w:spacing w:after="0" w:line="20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connection with the Amendment, the Company incurred an extension fee equal to a total of 0.15% of the aggregate committed amount of the revolving credit facility and term loan held by participating lenders. There were no other changes to the material terms of the Credit Agreement, including the applicable interest rate provisions and financial covenants, which remained substantially unchanged.</w:t>
      </w: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borrowings of $172.3 million (consisting of $85.0 million under the revolving credit facility and $87.3 million under the term loan, net of unamortized debt issuance costs) and a total of $3.3 million of letters of credit outstanding under the Credit Agreement. The Company has capitalized costs associated with debt modifications of $0.6 million as of September 30, 2026, which are included in Other assets on the Unaudited Condensed Consolidated Balance Sheets and will be amortized into interest expense over the remaining term of the Credit Agreement through its maturity date.</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was in compliance with the terms and covenants of the Credit Agreement. The Company continuously monitors compliance with the covenants contained in the Credit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The Company's other debt includes bank financing provided at the local subsidiary level used to support working capital requirements and fund capital expenditures. At September 30, 2026, there was an aggregate of approximately $1.5 million outstanding, payable at various times through 2030.</w:t>
      </w:r>
    </w:p>
    <w:p>
      <w:pPr>
        <w:spacing w:after="0" w:line="1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While uncertainties exist with respect to the ultimate resolution of lawsuits, investigations and claims asserted against it, except as stated below, the Company, based on currently available information, does not believe that any currently pending or threatened legal proceeding to which the Company is a party,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(the "DEQ Proceeding") filed by the State of Arizona and the Arizona Department of Environmental Quality (collectively, “DEQ”). The DEQ Proceeding,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DEQ, and corrective and remedial action to bring the testing facility into compliance with laws and regulations. In addition, DEQ is seeking unspecified penalties and costs in connection with the DEQ Proceeding.</w:t>
      </w:r>
    </w:p>
    <w:p>
      <w:pPr>
        <w:spacing w:after="0" w:line="2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Superior Court held a hearing in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and Mistras Arizona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 In April 2025, Mistras Arizona notified the DEQ that the improvements were completed, which the DEQ</w:t>
      </w:r>
    </w:p>
    <w:p>
      <w:pPr>
        <w:spacing w:after="0" w:line="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then inspected. Following the DEQ site visit, Mistras Arizona commenced its chrome plating operations on April 28, 2025. Mistras Arizona has been and intends to continue complying with the Superior Court's ruling. In the meantime, the DEQ Proceeding is ongoing.</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probable that additional investigation and/or remediation costs, as well as fines and penalties will be imposed related to the DEQ Proceeding. However, the Company is unable to estimate the range of loss that it may incur and whether these amounts will be material to the Company.</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at a leased site within the footprint of the Motorola 52nd Street Superfund Site (the “Motorola Site”). Mistras Arizona has received two General Notice Letters from the U.S. Environmental Protection Agency (the "EPA"), dated May 21, 2024 and December 1, 2025, informing Mistras Arizona that the EPA has identified it as a potentially responsible party in relation to the Motorola Site. On April 29, 2025, the Company received a notice from the EPA requesting information regarding the improvements and other matters related to the Phoenix testing facility. Mistras Arizona provided the EPA with the requested information in July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had significant reductions in their unionized workers in 2018. The collective bargaining agreements for the</w:t>
      </w:r>
    </w:p>
    <w:p>
      <w:pPr>
        <w:spacing w:after="0" w:line="6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employees of these subsidiaries required contributions for these employees to two national multi-employer pension funds. The reduction in employees resulted in one of the Company's subsidiaries incurring a complete withdrawal to one of the pension funds under the Employee Retirement Income Security</w:t>
      </w:r>
    </w:p>
    <w:p>
      <w:pPr>
        <w:ind w:right="820"/>
        <w:spacing w:after="0" w:line="266" w:lineRule="auto"/>
        <w:rPr>
          <w:sz w:val="20"/>
          <w:szCs w:val="20"/>
          <w:color w:val="auto"/>
        </w:rPr>
      </w:pPr>
      <w:r>
        <w:rPr>
          <w:rFonts w:ascii="Times New Roman" w:cs="Times New Roman" w:eastAsia="Times New Roman" w:hAnsi="Times New Roman"/>
          <w:sz w:val="18"/>
          <w:szCs w:val="18"/>
          <w:color w:val="auto"/>
        </w:rPr>
        <w:t>Act of 1974 ("ERISA"), which was fully satisfied in 2019. The Company has determined that the subsidiary is likely to incur partial or complete withdrawal liability to the other pension fund. The balance of the estimated total amount of this potential liability as of September 30, 2026 is approximately $2.1 million, which was incurred in 2018 and 2019.</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which are also the Company's reportable segments, are:</w:t>
      </w:r>
    </w:p>
    <w:p>
      <w:pPr>
        <w:spacing w:after="0" w:line="223" w:lineRule="exact"/>
        <w:rPr>
          <w:sz w:val="20"/>
          <w:szCs w:val="20"/>
          <w:color w:val="auto"/>
        </w:rPr>
      </w:pPr>
    </w:p>
    <w:p>
      <w:pPr>
        <w:ind w:left="900" w:right="60" w:hanging="244"/>
        <w:spacing w:after="0" w:line="267" w:lineRule="auto"/>
        <w:tabs>
          <w:tab w:leader="none" w:pos="89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line="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industrial and public infrastructure and commercial aerospace components. Software, digital and data services are included in this segment.</w:t>
      </w:r>
    </w:p>
    <w:p>
      <w:pPr>
        <w:spacing w:after="0" w:line="223" w:lineRule="exact"/>
        <w:rPr>
          <w:sz w:val="20"/>
          <w:szCs w:val="20"/>
          <w:color w:val="auto"/>
        </w:rPr>
      </w:pPr>
    </w:p>
    <w:p>
      <w:pPr>
        <w:ind w:left="900" w:right="160" w:hanging="244"/>
        <w:spacing w:after="0" w:line="267"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("CODM") reviews financial information at the operating segment level to allocate resources and to assess the operating results and financial performance for each operating segment. The Company's CODM is Natalia Shuman, our Chief Executive Officer, as she has final authority over performance assessment and resource allocation decisions. Our segments are based on the type and concentration of customers served, service requirements, methods of distribution and major product lines.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Segment income (loss) from operations is the primary performance measure used by the CODM to evaluate segment performance and allocate resources, including considering budget-to-actual variances and prior year-to-actual variances on a monthly basis in accordance with GAAP under ASC 280, Segment Reporting. Segment income (loss) from operations for each of the Company's reportable segments are comprised of revenue, selling, general &amp; administrative expenses, and "other expenses." "Other expenses" include cost of revenue, reorganization and environmental costs, transaction-related expense, depreciation and amortization and research and engineering.</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segments are the same as those described in Note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Income (loss) from operations by operating segment includes intercompany transactions, which are eliminated in Corporate and eliminations</w:t>
      </w:r>
      <w:r>
        <w:rPr>
          <w:rFonts w:ascii="Times New Roman" w:cs="Times New Roman" w:eastAsia="Times New Roman" w:hAnsi="Times New Roman"/>
          <w:sz w:val="21"/>
          <w:szCs w:val="21"/>
          <w:color w:val="00808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166,362</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210,640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204,621</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38,493</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122,058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151,987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151,079</w:t>
            </w:r>
          </w:p>
        </w:tc>
        <w:tc>
          <w:tcPr>
            <w:tcW w:w="0" w:type="dxa"/>
            <w:vAlign w:val="bottom"/>
          </w:tcPr>
          <w:p>
            <w:pPr>
              <w:spacing w:after="0"/>
              <w:rPr>
                <w:sz w:val="1"/>
                <w:szCs w:val="1"/>
                <w:color w:val="auto"/>
              </w:rPr>
            </w:pPr>
          </w:p>
        </w:tc>
      </w:tr>
      <w:tr>
        <w:trPr>
          <w:trHeight w:val="26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144,373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141,690</w:t>
            </w:r>
          </w:p>
        </w:tc>
        <w:tc>
          <w:tcPr>
            <w:tcW w:w="0" w:type="dxa"/>
            <w:vAlign w:val="bottom"/>
          </w:tcPr>
          <w:p>
            <w:pPr>
              <w:spacing w:after="0"/>
              <w:rPr>
                <w:sz w:val="1"/>
                <w:szCs w:val="1"/>
                <w:color w:val="auto"/>
              </w:rPr>
            </w:pPr>
          </w:p>
        </w:tc>
      </w:tr>
      <w:tr>
        <w:trPr>
          <w:trHeight w:val="26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458,312</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583,461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566,787</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114,201</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341,098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428,746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419,909</w:t>
            </w:r>
          </w:p>
        </w:tc>
        <w:tc>
          <w:tcPr>
            <w:tcW w:w="0" w:type="dxa"/>
            <w:vAlign w:val="bottom"/>
          </w:tcPr>
          <w:p>
            <w:pPr>
              <w:spacing w:after="0"/>
              <w:rPr>
                <w:sz w:val="1"/>
                <w:szCs w:val="1"/>
                <w:color w:val="auto"/>
              </w:rPr>
            </w:pPr>
          </w:p>
        </w:tc>
      </w:tr>
      <w:tr>
        <w:trPr>
          <w:trHeight w:val="26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437,503</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555,182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542,569</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108,923</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329,416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405,849</w:t>
            </w:r>
          </w:p>
        </w:tc>
        <w:tc>
          <w:tcPr>
            <w:tcW w:w="0" w:type="dxa"/>
            <w:vAlign w:val="bottom"/>
          </w:tcPr>
          <w:p>
            <w:pPr>
              <w:spacing w:after="0"/>
              <w:rPr>
                <w:sz w:val="1"/>
                <w:szCs w:val="1"/>
                <w:color w:val="auto"/>
              </w:rPr>
            </w:pPr>
          </w:p>
        </w:tc>
      </w:tr>
      <w:tr>
        <w:trPr>
          <w:trHeight w:val="26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tables above only reconcile to income (loss) from operations as our measure of segment profitability and the remainder of the reconciliation to net income can be seen on the Unaudited Condensed Consolidated Statement of Income. Products and Systems segment revenue was comprised of approximately $0.9 million and $0.6 million of sales to the International segment, which were eliminated upon consolidation, for the three months ended September 30, 2026 and 2025, respectively. Products and Systems segment revenue was comprised of approximately $2.0 million and $2.4 million of sales to the International segment, which were eliminated upon consolidation, for the nine months ended September 30, 2026 and 2025, respectively. Intersegment revenue related to sales between other segments was immaterial for each of the three and nine month periods ended September 30, 2026 and 2025.</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28,245</w:t>
            </w:r>
          </w:p>
        </w:tc>
        <w:tc>
          <w:tcPr>
            <w:tcW w:w="0" w:type="dxa"/>
            <w:vAlign w:val="bottom"/>
          </w:tcPr>
          <w:p>
            <w:pPr>
              <w:spacing w:after="0"/>
              <w:rPr>
                <w:sz w:val="1"/>
                <w:szCs w:val="1"/>
                <w:color w:val="auto"/>
              </w:rPr>
            </w:pP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0" w:type="dxa"/>
            <w:vAlign w:val="bottom"/>
          </w:tcPr>
          <w:p>
            <w:pPr>
              <w:spacing w:after="0"/>
              <w:rPr>
                <w:sz w:val="1"/>
                <w:szCs w:val="1"/>
                <w:color w:val="auto"/>
              </w:rPr>
            </w:pPr>
          </w:p>
        </w:tc>
      </w:tr>
      <w:tr>
        <w:trPr>
          <w:trHeight w:val="261"/>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443,039</w:t>
            </w: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426,146</w:t>
            </w:r>
          </w:p>
        </w:tc>
        <w:tc>
          <w:tcPr>
            <w:tcW w:w="0" w:type="dxa"/>
            <w:vAlign w:val="bottom"/>
          </w:tcPr>
          <w:p>
            <w:pPr>
              <w:spacing w:after="0"/>
              <w:rPr>
                <w:sz w:val="1"/>
                <w:szCs w:val="1"/>
                <w:color w:val="auto"/>
              </w:rPr>
            </w:pP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150,741</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31,809</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597,463</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278,419</w:t>
            </w:r>
          </w:p>
        </w:tc>
        <w:tc>
          <w:tcPr>
            <w:tcW w:w="0" w:type="dxa"/>
            <w:vAlign w:val="bottom"/>
          </w:tcPr>
          <w:p>
            <w:pPr>
              <w:spacing w:after="0"/>
              <w:rPr>
                <w:sz w:val="1"/>
                <w:szCs w:val="1"/>
                <w:color w:val="auto"/>
              </w:rPr>
            </w:pP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0" w:type="dxa"/>
            <w:vAlign w:val="bottom"/>
          </w:tcPr>
          <w:p>
            <w:pPr>
              <w:spacing w:after="0"/>
              <w:rPr>
                <w:sz w:val="1"/>
                <w:szCs w:val="1"/>
                <w:color w:val="auto"/>
              </w:rPr>
            </w:pPr>
          </w:p>
        </w:tc>
      </w:tr>
      <w:tr>
        <w:trPr>
          <w:trHeight w:val="261"/>
        </w:trPr>
        <w:tc>
          <w:tcPr>
            <w:tcW w:w="7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2 - </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and nine months ended September 30, 2026 and 2025. The MD&amp;A should be read together with our Unaudited Condensed Consolidated Financial Statements and related notes included in Item 1 in this Quarterly Report on Form 10-Q (the "Quarterly Report") and our audited consolidated financial statements and related notes included in our 2025 Annual Report. Unless otherwise specified or the context otherwise requires, “Mistras,” “the Company,” “we,” “us” and “our” refer to Mistras Group, Inc. and its consolidated subsidiaries. The MD&amp;A includes the following sections:</w:t>
      </w:r>
    </w:p>
    <w:p>
      <w:pPr>
        <w:spacing w:after="0" w:line="18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Securities Exchange Act of 1934, as amended (the “Exchange Act”), including statements regarding the anticipated timing and completion of the Merger, the anticipated benefits of the Merger, the consideration to be received by the Company’s stockholders in connection with the Merger, and other statements about the future plans, objectives, expectations and intentions of the Company.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2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Forward-looking statements are inherently subject to risks and uncertainties, many of which are beyond the Company’s control. These risks and uncertainties include, but are not limited to, the following: (i) the ability to complete the Merger on the anticipated timeline, or at all; (ii) the satisfaction or waiver of the conditions to the completion of the Merger, including the approval by the Company’s stockholders and receipt of the required regulatory approvals; (iii) the receipt of required regulatory approvals on the terms anticipated or at all, or the imposition of conditions on such approvals that could reduce the anticipated benefits of the Merger or cause the parties to abandon the Merger; (iv) the Merger may involve unexpected costs, liabilities or delays, including the payment of the Company Termination Fee (as defined herein) to Parent by the Company; (v) the Company may be adversely affected by other economic, business, legislative, regulatory and/or competitive factors; (vi) the outcome of any stockholder demands or legal proceedings that have been or may be instituted against the Company and others relating to the Merger Agreement or the Merger; (vii) the occurrence of any event, change or other circumstance that could give rise to the termination of the Merger Agreement; (viii) potential disruption to the business of the Company as a result of the announcement and pendency of the Merger; (ix) the diversion of management attention from the Company’s ongoing business operations as a result of the Merger; (x) adverse effects on the Company’s ability to retain and hire key personnel as a result of the announcement or pendency of the Merger; (xi) volatility in the Company’s stock price prior to the completion of the Merger; (xii) changes or developments in the industries in which the Company competes, general economic conditions, or conditions in the financial markets or capital markets; (xiii) any impacts from the imposition of tariffs or other trade restrictions and changes to U.S. trade policy, including the outcome of pending litigation regarding tariffs and the availability of refunds of tariffs previously imposed under the International Emergency Economic Powers Act; (xiv) impacts and uncertainty arising from geopolitical instability and conflicts, including those related to the conflict involving the U.S. and Iran and the war in Ukraine, and resulting volatility in oil and natural gas prices and in capital spending and maintenance activity by our oil and gas customers; (xv) the creditworthiness of our customers and our ability to collect our accounts receivable; (xvi) changes in interest rates and foreign currency exchange rates; and (xvii) other risks and uncertainties described in the Company’s filings with the Securities and Exchange Commission (the “SEC”), including those discussed in the “Business—Forward-Looking Statements,” and “Risk Factors” sections of our 2025 Annual Report as well as those discussed in this Quarterly Report. You are urged not to place undue reliance on any such forward-looking statements, any of which may turn out to be wrong due to inaccurate assumptions, various risks, uncertainties or other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factors known and unknown.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is a global leader in technology-enabled industrial asset integrity solutions, serving critical industries including oil &amp; gas, aerospace &amp; defense, power &amp; utilities, manufacturing, and civil infrastructure.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the Company helps clients reduce risk, extend asset life, and optimize operational performance.</w:t>
      </w:r>
    </w:p>
    <w:p>
      <w:pPr>
        <w:spacing w:after="0" w:line="19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w:t>
      </w:r>
    </w:p>
    <w:p>
      <w:pPr>
        <w:spacing w:after="0" w:line="217" w:lineRule="exact"/>
        <w:rPr>
          <w:sz w:val="20"/>
          <w:szCs w:val="20"/>
          <w:color w:val="auto"/>
        </w:rPr>
      </w:pPr>
    </w:p>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The Company’s core capabilities also include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61" w:lineRule="exact"/>
        <w:rPr>
          <w:sz w:val="20"/>
          <w:szCs w:val="20"/>
          <w:color w:val="auto"/>
        </w:rPr>
      </w:pPr>
    </w:p>
    <w:p>
      <w:pPr>
        <w:ind w:left="660" w:hanging="328"/>
        <w:spacing w:after="0" w:line="251"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85" w:lineRule="exact"/>
        <w:rPr>
          <w:rFonts w:ascii="Times New Roman" w:cs="Times New Roman" w:eastAsia="Times New Roman" w:hAnsi="Times New Roman"/>
          <w:sz w:val="18"/>
          <w:szCs w:val="18"/>
          <w:i w:val="1"/>
          <w:iCs w:val="1"/>
          <w:color w:val="auto"/>
        </w:rPr>
      </w:pPr>
    </w:p>
    <w:p>
      <w:pPr>
        <w:ind w:left="660" w:right="74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oil and gas, aerospace and defense, industrials, power generation and transmission (including alternative and renewable energy), infrastructure, research and engineering, petrochemical, and other process industries.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spending to be impacted by fluctuations in oil prices and broader market conditions, including potential geopolitical disruptions and uncertainty arising from conflicts in the Middle East.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OneSuite platform. The software platform offers functions of our software and services brands as integrated apps on a cloud environment. OneSuite serves as a single access portal for customers' data activities and provides access to 90 plus applications being offered on one centralized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cash position and liquidity remain strong. As of September 30, 2026, our cash and cash equivalents balance was approximately $19.0 million, and we had available borrowing capacity of up to $101.7 million under the revolving credit facility under our Credit Agreement.</w:t>
      </w:r>
    </w:p>
    <w:p>
      <w:pPr>
        <w:spacing w:after="0" w:line="189"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On September 17, 2026, the Company entered into an Agreement and Plan of Merger (the “Merger Agreement”) with Athena Purchaser, LLC, a Delaware limited liability company (“Parent”), and Athena Merger Sub, Inc., a Delaware corporation and a wholly owned subsidiary of Parent (“Acquisition Sub”), pursuant to which, subject to the terms and conditions of the Merger Agreement, Acquisition Sub will be merged with and into the Company (the</w:t>
      </w:r>
    </w:p>
    <w:p>
      <w:pPr>
        <w:ind w:right="140"/>
        <w:spacing w:after="0" w:line="282" w:lineRule="auto"/>
        <w:rPr>
          <w:sz w:val="20"/>
          <w:szCs w:val="20"/>
          <w:color w:val="auto"/>
        </w:rPr>
      </w:pPr>
      <w:r>
        <w:rPr>
          <w:rFonts w:ascii="Times New Roman" w:cs="Times New Roman" w:eastAsia="Times New Roman" w:hAnsi="Times New Roman"/>
          <w:sz w:val="18"/>
          <w:szCs w:val="18"/>
          <w:color w:val="auto"/>
        </w:rPr>
        <w:t>“Merger”), with the Company surviving the Merger as a wholly owned subsidiary of Parent. Parent and Acquisition Sub are controlled by funds affiliated with H.I.G. Capital (“H.I.G.”).</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(the “Effective Time”), each share of the Company’s common stock, par value $0.01 per share, issued and outstanding immediately prior to the Effective Time (other than (i) shares held by the Company as treasury stock or held directly by Parent or Acquisition Sub, which will be automatically cancelled for no consideration, and (ii) shares held by stockholders who have properly exercised and not withdrawn their appraisal rights under Section 262 of the General Corporation Law of the State of Delaware) will be automatically converted into the right to receive $20.35 in cash, without interest.</w:t>
      </w:r>
    </w:p>
    <w:p>
      <w:pPr>
        <w:spacing w:after="0" w:line="20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Merger is expected to close in late 2026 or early 2027, subject to, among other things, approval of the Merger by the Company’s stockholders, expiration or termination of the applicable waiting period under the Hart-Scott-Rodino Antitrust Improvements Act of 1976, as amended (the “HSR Act”), the receipt of certain required regulatory approvals, and the satisfaction or waiver of certain other customary closing conditions. Effective October 22, 2026, the Federal Trade Commission granted early termination of the HSR Act waiting period. If the Merger is completed, the Company’s common stock will be delisted from the New York Stock Exchange (the “NYSE”) and deregistered under the Exchange Act.</w:t>
      </w:r>
    </w:p>
    <w:p>
      <w:pPr>
        <w:spacing w:after="0" w:line="2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subject to, and qualified in its entirety by, the full text of the Merger Agreement, a copy of which is filed as Exhibit 2.1 to this Quarterly Report and is incorporated herein by reference.</w:t>
      </w:r>
    </w:p>
    <w:p>
      <w:pPr>
        <w:spacing w:after="0" w:line="17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 xml:space="preserve">On August 5, 2026, the Company entered into an amendment (the "Amendment") to its credit agreement dated August 1, 2022 (as amended, the "Credit Agreement"), with the lenders party thereto and JPMorgan Chase Bank, N.A., as administrative agent. The Amendment extended the maturity date of the Company’s $190.0 million revolving credit facility and approximately $87.3 million outstanding term loan under the Credit Agreement from July 30, 2027 to July 28, 2028. In connection with the Amendment, the Company incurred an extension fee equal to a total of 0.15% of the aggregate committed amount of the revolving credit facility and term loan held by participating lenders. There were no other changes to the material terms of the Credit Agreement, including the applicable interest rate provisions and financial covenants, which remained substantially unchanged. Refer to Note 11 -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for more details regarding the terms of the Credit Agreement.</w:t>
      </w:r>
    </w:p>
    <w:p>
      <w:pPr>
        <w:spacing w:after="0" w:line="2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global trade landscape continues to be highly volatile. During 2025, the U.S. government implemented a series of trade tariffs on goods imported into the U.S. from various countries, many of which prompted reciprocal tariffs and other trade measures affecting U.S. exports. The ongoing tariff environment remains complex and continues to evolve as legal proceedings and trade negotiations progress. In February 2026, the U.S. Supreme Court ruled that the International Emergency Economic Powers Act ("IEEPA"), which the U.S. government relied upon to impose certain tariffs, does not authorize the imposition of tariffs. Following that decision, the U.S. Court of International Trade directed the U.S. Customs and Border Protection ("CBP")</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to begin processing refunds of previously collected IEEPA tariffs, and CBP has since processed refund claims in phases, most recently commencing in October 2026 the processing of refunds for certain finally liquidated entries. In October 2026, the U.S. Court of International Trade also certified a class of importers seeking IEEPA tariff refunds and the U.S. government’s appeals in the refund litigation remain pending. In response to the U.S. Supreme Court's ruling, the U.S. administration implemented replacement tariffs under alternative statutory authorities, including a temporary tariff under Section 122 of the Trade Act of 1974, which expired on July 24, 2026 at the end of its 150-day statutory period. The U.S. Court of International Trade ruled against the Section 122 tariffs, but that ruling has been stayed pending appeal, and the related litigation remains ongoing. Effective July 24, 2026, the U.S. administration implemented additional tariffs ranging from 10% to 12.5% on imports from numerous trading partners under Section 301 of the Trade Act of 1974, which are also subject to legal challenge. Accordingly, the ultimate scope, duration and financial impact of U.S. trade measures remain uncertain. Ongoing changes to trade policies and related uncertainty may affect global economic conditions, supply chains and costs, and may reduce trade between the U.S. and impacted countries. Tariffs and trade barriers have not had a material effect on our business or results of operations during 2026 to date. However, new tariffs or other trade measures could result in increased costs for us or our suppliers and could impact the import of materials by our customers, including materials subject to our inspection and testing services, which could adversely affect demand for our services.</w:t>
      </w:r>
    </w:p>
    <w:p>
      <w:pPr>
        <w:spacing w:after="0" w:line="2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Geopolitical tensions in the Middle East, including the conflict involving the U.S. and Iran that began in February 2026, have contributed to increased volatility in global energy markets and broader macroeconomic uncertainty. The conflict has disrupted shipping through the Strait of Hormuz and increased uncertainty surrounding global energy supplies, international shipping routes and supply chains, contributing to fluctuations in oil and natural gas prices and increased costs for certain materials and transportation. Efforts to resolve the conflict have not been successful to date, and renewed escalation remains possible. Fluctuations in crude oil and natural gas prices may influence capital spending and maintenance activity by customers in the oil and gas sector, which could affect demand for certain of our services, particularly field inspection and asset integrity solutions. Additionally, continued instability in the Middle East could contribute to supply chain disruptions, changes in foreign currency exchange rates, and delays in customer projects. While we have not experienced material impacts to date, the situation remains dynamic, and we continue to monitor developments and assess potential impacts on our operations,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7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prepares its consolidated financial statements in accordance with GAAP. In this MD&amp;A under the heading "Income from Operations", the non-GAAP financial performance measure "Income from operations before special items” is used for each of our three operating segments, “Corporate and Eliminations” and the "Total Company", with tables reconciling the measure to a financial measure under GAAP. This presentation excludes from "Income from Operations" (a) reorganization and other costs, which includes items such as severance, labor relations matters and asset and lease termination costs,</w:t>
      </w:r>
    </w:p>
    <w:p>
      <w:pPr>
        <w:spacing w:after="0" w:line="3" w:lineRule="exact"/>
        <w:rPr>
          <w:sz w:val="20"/>
          <w:szCs w:val="20"/>
          <w:color w:val="auto"/>
        </w:rPr>
      </w:pPr>
    </w:p>
    <w:p>
      <w:pPr>
        <w:ind w:right="20" w:firstLine="8"/>
        <w:spacing w:after="0" w:line="25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expense, which are expenses that consist of legal, financial advisory and other professional fees incurred in connection with the Merger Agreement and beginning in the three months ended September 30, 2026, is excluded from this measure, and (c) environmental expense, which relates to costs associated with the environmental matter at the Phoenix lab operated by Mistras Arizona, as described in Note 13 to the Unaudited Condensed Consolidated Financial Statements in this Quarterly Report. These adjustments have been excluded from the GAAP measure because these expenses and credits are not related to our or any individual segment's core business operations. Our management uses this non-GAAP measure as a measure of operating performance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from operations before special items excludes the identified adjustments, which provides additional tools to compare our core business operating performance on a consistent basis and measure underlying trends and results in our business. Income from operations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measure and should not be considered an alternative to net income or any other measures derived in accordance with GAAP. Because Income from operations before special items may not be calculated in the same manner by all companies, this measure may not be comparable to other similarly titled measures used by other companies.</w:t>
      </w:r>
    </w:p>
    <w:p>
      <w:pPr>
        <w:spacing w:after="0" w:line="2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this MD&amp;A under the heading “Adjusted EBITDA,” we also present the non-GAAP financial measures “Adjusted EBITDA” and “Adjusted EBITDA Margin.” We define Adjusted EBITDA as net income (loss) attributable to Mistras Group, Inc. plus: interest expense, provision (benefit) for income taxes, depreciation and amortization, share-based compensation expense, reorganization and other related costs, transaction-related expense, environmental expense, net, foreign exchange (gain) loss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and, if applicable, certain acquisition-related costs, non-cash impairment charges and other special items, which are noted. Adjusted EBITDA Margin is Adjusted EBITDA divided by revenue. The most directly comparable GAAP measures are net income (loss) attributable to Mistras Group, Inc. and net income (loss) attributable to Mistras Group, Inc. as a percentage of revenue, which were 3.4% and 6.7% for the three months ended September 30, 2026 and 2025, respectively, and 3.0% and 2.4% for the nine months ended September 30, 2026 and 2025, respectively. Adjusted EBITDA is also a performance metric used to determine incentive compensation for our executive officers, as described in Note 3 </w:t>
      </w:r>
      <w:r>
        <w:rPr>
          <w:rFonts w:ascii="Times New Roman" w:cs="Times New Roman" w:eastAsia="Times New Roman" w:hAnsi="Times New Roman"/>
          <w:sz w:val="18"/>
          <w:szCs w:val="18"/>
          <w:b w:val="1"/>
          <w:bCs w:val="1"/>
          <w:i w:val="1"/>
          <w:iCs w:val="1"/>
          <w:color w:val="auto"/>
        </w:rPr>
        <w:t>- Share-Based Compensation</w:t>
      </w:r>
      <w:r>
        <w:rPr>
          <w:rFonts w:ascii="Times New Roman" w:cs="Times New Roman" w:eastAsia="Times New Roman" w:hAnsi="Times New Roman"/>
          <w:sz w:val="18"/>
          <w:szCs w:val="18"/>
          <w:color w:val="auto"/>
        </w:rPr>
        <w:t>; for that purpose it may be subject to adjustments approved by the Compensation Committee. Adjusted EBITDA has material limitations as an analytical tool because it excludes charges and expenses we incur as part of our operations, and it should not be considered in isolation or as a substitute for net income or other measures derived in accordance with GAAP. Adjusted EBITDA may not be comparable to similarly titled measures used by other companies.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and nine months ended September 30, 2026 and 2025 were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8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204,621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195,549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566,787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542,569</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58,193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163,214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153,030</w:t>
            </w:r>
          </w:p>
        </w:tc>
      </w:tr>
      <w:tr>
        <w:trPr>
          <w:trHeight w:val="24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30.3 %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29.8 %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28.8 %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15,049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20,381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32,677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27,797</w:t>
            </w:r>
          </w:p>
        </w:tc>
      </w:tr>
      <w:tr>
        <w:trPr>
          <w:trHeight w:val="24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11,081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23,637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16,853</w:t>
            </w: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13,203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16,818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13,161</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13,108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16,918</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12,939</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Revenue was $204.6 million for the three months ended September 30, 2026, an increase of $9.1 million, or 4.6%, compared with the three months ended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and nine months ended September 30, 2026 and 2025 were as follows:</w:t>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and Systems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0" w:type="dxa"/>
            <w:vAlign w:val="bottom"/>
          </w:tcPr>
          <w:p>
            <w:pPr>
              <w:spacing w:after="0"/>
              <w:rPr>
                <w:sz w:val="1"/>
                <w:szCs w:val="1"/>
                <w:color w:val="auto"/>
              </w:rPr>
            </w:pPr>
          </w:p>
        </w:tc>
      </w:tr>
      <w:tr>
        <w:trPr>
          <w:trHeight w:val="261"/>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2026, total revenue increased 4.6% versus the prior year comparable period due predominantly to a low-single-digit organic increase driven by increases in the aerospace and defense, power generation and transmission, industrials, process industries and infrastructure, research and engineering end markets. North America segment revenue increased 3.6%, driven predominantly by the aerospace and defense, industrials, power generation and transmission, process industries, and infrastructure, research and engineering end markets as a result of strong market demand. International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segment revenue increased 12.6%, driven predominately by the oil and gas, aerospace and defense, industrials, infrastructure, research and engineering, and petrochemical end markets as a result of strong market demand. Products and Systems segment revenue increased by 6.1%, due to increased sales volume and shipments as compared to the prior year comparable period.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49% and 54% of total revenue for the three months ended September 30, 2026 and 2025, respectively. Aerospace and defense customer revenue comprised approximately 14% and 12% of total revenue for the three months ended September 30, 2026 and 2025, respectively. The Company’s top ten customers comprised approximately 31% of total revenue for the three months ended September 30, 2026 and 36% for the three months ended September 30, 2025, with no customer accounting for 10% or more of total revenue in either three-month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2026, total revenue increased 4.5% versus the prior year comparable period due predominantly to a low single-digit organic increase. North America segment revenue increased 4.8% versus the prior year comparable period, driven by the aerospace and defense, power generation and transmission, infrastructure, research, and engineering end markets. International segment revenue increased 6.0% versus the prior year comparable period, due to low single-digit organic growth and a low single-digit favorable impact of foreign exchange rates. Organic growth in the international segment was primarily driven by the aerospace and defense, industrials, infrastructure, research and engineering and petrochemical end markets. Products and Systems segment revenue increased by 10.0%, due to increased sales volume and shipments as compared to the prior year comparable period.</w:t>
      </w:r>
    </w:p>
    <w:p>
      <w:pPr>
        <w:spacing w:after="0" w:line="21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49% and 56% of total revenue for the nine months ended September 30, 2026 and 2025, respectively. Aerospace and defense customer revenue comprised approximately 15% and 13% of total revenue for the nine months ended September 30, 2026 and 2025, respectively. The Company’s top ten customers comprised approximately 34% and 36% of total revenue for the nine months ended September 30, 2026 and 2025, respectively, with no customer accounting for 10% or more of total revenue in either nine-month period.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Integrated Field Solutions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464,078</w:t>
            </w: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In-Laboratory Services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78,491</w:t>
            </w:r>
          </w:p>
        </w:tc>
        <w:tc>
          <w:tcPr>
            <w:tcW w:w="0" w:type="dxa"/>
            <w:vAlign w:val="bottom"/>
          </w:tcPr>
          <w:p>
            <w:pPr>
              <w:spacing w:after="0"/>
              <w:rPr>
                <w:sz w:val="1"/>
                <w:szCs w:val="1"/>
                <w:color w:val="auto"/>
              </w:rPr>
            </w:pPr>
          </w:p>
        </w:tc>
      </w:tr>
      <w:tr>
        <w:trPr>
          <w:trHeight w:val="262"/>
        </w:trPr>
        <w:tc>
          <w:tcPr>
            <w:tcW w:w="4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presenting the allocation of revenue by type in the table above, management makes certain assumptions in its allocation of revenue from laboratories that provide more than one type of service. The allocation methodology and assumptions made are consistent for the years presented.</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Integrated Field Solutions revenue is comprised of revenue derived from on-site asset inspection, maintenance, and related technical services performed by our technicians at customer locations, as well as data-driven solutions, including software, analytics, and implementation services that provide insights and recommendations to enhance asset integrity and performance. Integrated Field Solutions revenue increased by $10.6 million for the three months ended September 30, 2026 as compared to the three months ended September 30, 2025 and increased by $17.2 million for the nine months ended September 30, 2026 as compared to the nine months ended September 30, 2025, primarily due to increases in sales volume in our power generation and transmission, industrials and infrastructure, research and engineering end markets as a result of strong market demand, partially offset by decreases in sales volume in our oil and gas end market within our North America segment.</w:t>
      </w:r>
    </w:p>
    <w:p>
      <w:pPr>
        <w:spacing w:after="0" w:line="22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In-Laboratory Services revenue is comprised of quality assurance inspections of components and materials at our in-house laboratory facilities. In-Laboratory Services revenue decreased by $1.6 million for the three months ended September 30, 2026 as compared to the three months ended September 30, 2025, due to decreased sales volumes in our North America segment. In-Laboratory Services revenue increased by $7.0 million for the nine months ended September 30, 2026 as compared to the nine months ended September 30, 2025, primarily due to increased sales volumes in our aerospace and defense end market in our North America segment.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Gross profit increased by $3.8 million, or 6.6%, in the three months ended September 30, 2026 versus the prior year comparable period primarily due to </w:t>
      </w:r>
      <w:r>
        <w:rPr>
          <w:rFonts w:ascii="Times New Roman" w:cs="Times New Roman" w:eastAsia="Times New Roman" w:hAnsi="Times New Roman"/>
          <w:sz w:val="18"/>
          <w:szCs w:val="18"/>
          <w:color w:val="1D2228"/>
        </w:rPr>
        <w:t>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2228"/>
        </w:rPr>
        <w:t>improved and diversified business mix and operating efficiencies</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and nine months ended September 30, 2026 and 2025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46,845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45,103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123,411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115,653</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26.4 %</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13,043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34,934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32,548</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30.2 %</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5,152</w:t>
            </w: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52.2 %</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58,193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163,214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153,030</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30.3 %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29.8 %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28.8 %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Gross profit margin was 30.3% and 29.8% for the three-month periods ended September 30, 2026 and 2025, respectively. Gross profit margin for the North America segment increased 0.1% to 28.2% for the three months ended September 30, 2026 as compared to the prior year comparable period primarily due to a more favorable sales mix in the current year period. International segment realized a 1.1% increase in gross profit margin to 32.6% for the three months ended September 30, 2026 as compared to the prior year comparable period primarily due to an improved and diversified business mix and operating efficiencies. Products and Systems segment gross margin decreased 4.4% to 49.9% for the three months ended September 30, 2026 primarily due to a less favorable sales mix as compared to the prior period.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Gross profit margin was 28.8% and 28.2% for the nine-month periods ended September 30, 2026 and 2025, respectively. Gross profit margin for the North America segment increased 0.5% to 26.9% for the nine months ended September 30, 2026 as compared to the prior year comparable period primarily due to an improved and diversified business mix and operating efficiencies. International segment gross profit margin increased 0.4% to 30.6% due to an improved and diversified business mix and operating efficiencies. Products and Systems segment gross margin had a decline of 5.8% to 46.4% for the nine months ended September 30, 2026 primarily due to a less favorable sales mix as compared to the prior period.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2026 and 2025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108,923</w:t>
            </w:r>
          </w:p>
        </w:tc>
        <w:tc>
          <w:tcPr>
            <w:tcW w:w="0" w:type="dxa"/>
            <w:vAlign w:val="bottom"/>
          </w:tcPr>
          <w:p>
            <w:pPr>
              <w:spacing w:after="0"/>
              <w:rPr>
                <w:sz w:val="1"/>
                <w:szCs w:val="1"/>
                <w:color w:val="auto"/>
              </w:rPr>
            </w:pPr>
          </w:p>
        </w:tc>
      </w:tr>
      <w:tr>
        <w:trPr>
          <w:trHeight w:val="24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62"/>
        </w:trPr>
        <w:tc>
          <w:tcPr>
            <w:tcW w:w="49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Operating expenses increased $9.2 million, or 24.3%, for the three months ended September 30, 2026 compared to the three months ended September 30, 2025. Selling, general and administrative expenses increased $5.0 million during the three months ended September 30, 2026 compared to the three months ended September 30, 2025, primarily due to strategic investments in our operations to support commercial execution and promote growth in our strategic markets, while maintaining discipline in overhead costs. Reorganization and other costs decreased by $0.3 million to $1.5 million as compared to the prior year comparable period due to lower restructuring activity, including workforce reductions and laboratory rationalization initiatives in the three months ended September 30, 2025</w:t>
      </w:r>
      <w:r>
        <w:rPr>
          <w:rFonts w:ascii="Times New Roman" w:cs="Times New Roman" w:eastAsia="Times New Roman" w:hAnsi="Times New Roman"/>
          <w:sz w:val="16"/>
          <w:szCs w:val="16"/>
          <w:color w:val="auto"/>
        </w:rPr>
        <w:t>, w</w:t>
      </w:r>
      <w:r>
        <w:rPr>
          <w:rFonts w:ascii="Times New Roman" w:cs="Times New Roman" w:eastAsia="Times New Roman" w:hAnsi="Times New Roman"/>
          <w:sz w:val="18"/>
          <w:szCs w:val="18"/>
          <w:color w:val="auto"/>
        </w:rPr>
        <w:t>hich did not recur at similar levels during the current year period. Transaction-related expense was $4.3 million during the three months ended September 30, 2026, due to costs associated with the Merger Agreement. Environmental expense decreased by $0.3 million as compared to the prior year comparable period. Research and engineering expenses remained flat period over period. Depreciation and amortization increased by $0.4 million during the three months ended September 30, 2026 compared to the three months ended September 30,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4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Operating expenses increased $5.3 million, or 4.2%, for the nine months ended September 30, 2026 compared to the nine months ended September 30, 2025. Selling, general and administrative expenses increased $5.3 million during the nine months ended September 30, 2026 compared to the nine months ended September 30, 2025, due to strategic investments in our operations to support commercial execution and promote growth in our strategic markets, while maintaining discipline in overhead costs. Reorganization and other costs decreased by $4.3 million to $3.5 million as compared to the prior year comparable period due to lower restructuring activity, including workforce reductions and laboratory rationalization initiatives in the nine months ended September 30, 2025</w:t>
      </w:r>
      <w:r>
        <w:rPr>
          <w:rFonts w:ascii="Times New Roman" w:cs="Times New Roman" w:eastAsia="Times New Roman" w:hAnsi="Times New Roman"/>
          <w:sz w:val="16"/>
          <w:szCs w:val="16"/>
          <w:color w:val="auto"/>
        </w:rPr>
        <w:t>, w</w:t>
      </w:r>
      <w:r>
        <w:rPr>
          <w:rFonts w:ascii="Times New Roman" w:cs="Times New Roman" w:eastAsia="Times New Roman" w:hAnsi="Times New Roman"/>
          <w:sz w:val="18"/>
          <w:szCs w:val="18"/>
          <w:color w:val="auto"/>
        </w:rPr>
        <w:t>hich did not recur at similar levels during the current year period. Transaction-related expense was $4.3 million during the nine months ended September 30, 2026, due to costs associated with the Merger Agreement. Environmental expense decreased by $1.0 million as compared to the prior year comparable period. Research and engineering expenses decreased by $0.1 million during the nine months ended September 30, 2026 compared to the nine months ended September 30, 2025. Depreciation and amortization increased by $1.2 million during the nine months ended September 30, 2026 compared to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the income from operations to income from operations before special items for each of our three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Elimination and for the Company in total:</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46,026</w:t>
            </w:r>
          </w:p>
        </w:tc>
      </w:tr>
      <w:tr>
        <w:trPr>
          <w:trHeight w:val="24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3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48,780</w:t>
            </w: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r>
      <w:tr>
        <w:trPr>
          <w:trHeight w:val="24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w:t>
            </w: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4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(28,866)</w:t>
            </w:r>
          </w:p>
        </w:tc>
      </w:tr>
      <w:tr>
        <w:trPr>
          <w:trHeight w:val="24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4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4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(23,153)</w:t>
            </w: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27,797</w:t>
            </w:r>
          </w:p>
        </w:tc>
      </w:tr>
      <w:tr>
        <w:trPr>
          <w:trHeight w:val="24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43"/>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r>
      <w:tr>
        <w:trPr>
          <w:trHeight w:val="24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40,657</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36,856</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Quarterly Report for an explanation of the use of non-GAAP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income from operations (GAAP) decreased $5.3 million, or 26.2%, compared to the three months ended September 30, 2025, while income from operations before special items (non-GAAP) decreased by $1.6 million, or 7.4%. As a percentage of revenue, income from operations before special items decreased by 130 basis points to 10.1% in the three months ended September 30, 2026 compared to 11.4% in the three months ended September 30, 2025.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income from operations (GAAP) increased $4.9 million, or 17.6%, compared to the nine months ended September 30, 2025, while income from operations before special items (non-GAAP) increased by $3.8 million, or 10.3%. As a percentage of revenue, income from operations before special items increased by 40 basis points to 7.2% in the nine months ended September 30, 2026 compared to 6.8% in the nine months ended September 30, 2025.</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from net income to adjusted EBITDA for the Company:</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33655</wp:posOffset>
            </wp:positionV>
            <wp:extent cx="19970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49" w:lineRule="exact"/>
        <w:rPr>
          <w:sz w:val="20"/>
          <w:szCs w:val="20"/>
          <w:color w:val="auto"/>
        </w:rPr>
      </w:pPr>
    </w:p>
    <w:p>
      <w:pPr>
        <w:ind w:left="530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33655</wp:posOffset>
            </wp:positionV>
            <wp:extent cx="19970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33655</wp:posOffset>
            </wp:positionV>
            <wp:extent cx="1997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33655</wp:posOffset>
            </wp:positionV>
            <wp:extent cx="19970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7720" w:space="720"/>
            <w:col w:w="2760"/>
          </w:cols>
          <w:pgMar w:left="320" w:top="118" w:right="37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(GAAP)</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16,818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13,161</w:t>
            </w:r>
          </w:p>
        </w:tc>
      </w:tr>
      <w:tr>
        <w:trPr>
          <w:trHeight w:val="189"/>
        </w:trPr>
        <w:tc>
          <w:tcPr>
            <w:tcW w:w="46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3"/>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net of taxes</w:t>
            </w: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16,918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12,939</w:t>
            </w:r>
          </w:p>
        </w:tc>
      </w:tr>
      <w:tr>
        <w:trPr>
          <w:trHeight w:val="243"/>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10,944</w:t>
            </w:r>
          </w:p>
        </w:tc>
      </w:tr>
      <w:tr>
        <w:trPr>
          <w:trHeight w:val="243"/>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3,692</w:t>
            </w:r>
          </w:p>
        </w:tc>
      </w:tr>
      <w:tr>
        <w:trPr>
          <w:trHeight w:val="243"/>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25,115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23,161</w:t>
            </w:r>
          </w:p>
        </w:tc>
      </w:tr>
      <w:tr>
        <w:trPr>
          <w:trHeight w:val="243"/>
        </w:trPr>
        <w:tc>
          <w:tcPr>
            <w:tcW w:w="468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4,098</w:t>
            </w:r>
          </w:p>
        </w:tc>
      </w:tr>
      <w:tr>
        <w:trPr>
          <w:trHeight w:val="243"/>
        </w:trPr>
        <w:tc>
          <w:tcPr>
            <w:tcW w:w="468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Reorganization and other related costs</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7,802</w:t>
            </w:r>
          </w:p>
        </w:tc>
      </w:tr>
      <w:tr>
        <w:trPr>
          <w:trHeight w:val="243"/>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Transaction-related expense</w:t>
            </w: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 net</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1,257</w:t>
            </w:r>
          </w:p>
        </w:tc>
      </w:tr>
      <w:tr>
        <w:trPr>
          <w:trHeight w:val="24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2,420</w:t>
            </w:r>
          </w:p>
        </w:tc>
      </w:tr>
      <w:tr>
        <w:trPr>
          <w:trHeight w:val="262"/>
        </w:trPr>
        <w:tc>
          <w:tcPr>
            <w:tcW w:w="4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(non-GAAP)</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71,399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66,313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204,621</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195,549</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566,787</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542,569</w:t>
            </w:r>
          </w:p>
        </w:tc>
      </w:tr>
      <w:tr>
        <w:trPr>
          <w:trHeight w:val="243"/>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(non-GAAP)</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bl>
    <w:p>
      <w:pPr>
        <w:spacing w:after="0" w:line="319" w:lineRule="exact"/>
        <w:rPr>
          <w:sz w:val="20"/>
          <w:szCs w:val="20"/>
          <w:color w:val="auto"/>
        </w:rPr>
      </w:pPr>
    </w:p>
    <w:p>
      <w:pPr>
        <w:ind w:firstLine="8"/>
        <w:spacing w:after="0" w:line="249" w:lineRule="auto"/>
        <w:tabs>
          <w:tab w:leader="none" w:pos="181"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September 30, 2025, the Company recognized share-based compensation expense within Reorganization and other costs of $0.5 million. For the nine months ended September 30, 2025, the Company recognized share-based compensation expense within Reorganization and other costs of $2.0 million. No share-based compensation expense was recognized within Reorganization and other costs for the three or nine months ended September 30, 2026.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Quarterly Report for an explanation of the use of non-GAAP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adjusted EBITDA (non-GAAP) increased by $1.2 million, or 3.8%, compared to the three months ended September 30, 2025. As a percentage of revenue, adjusted EBITDA decreased by 10 basis points to 15.3% in the three months ended September 30, 2026 compared to 15.4% in the three months ended September 30, 2025.</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adjusted EBITDA (non-GAAP) increased by $5.1 million, or 7.7%, compared to the nine months ended September 30, 2025. As a percentage of revenue, adjusted EBITDA increased by 40 basis points to 12.6% in the nine months ended September 30, 2026 compared to 12.2% in the nine months ended September 30, 2025.</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Interest expense was flat at approximately $3.4 million for both the three months ended September 30, 2026 and 2025. Interest expense was approximately $10.5 million and $10.9 million for the nine months ended September 30, 2026 and 2025, respectively. This decrease of $0.4 million in interest expense was a result of lower interest rates and lower average borrowings outstanding during the nine months ended September 30, 2026 in comparison to the prior year comparable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approximately 37.7% and 22.3% for the three months ended September 30, 2026 and 2025, respectively. Our effective income tax rate was approximately 28.8% and 21.9% for the nine months ended September 30, 2026 and 2025, respectively.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2026, was higher than the statutory rate primarily due to non-deductible transaction costs. The effective income tax rate for the three months ended September 30, 2025 was higher than the statutory rate primarily due to the impact of foreign currency losses.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2026, was higher than the statutory rate primarily due to non-deductible transaction costs. The effective income tax rate for the nine months ended September 30, 2025, was higher than the statutory rate primarily due to the impact of foreign currency losses.</w:t>
      </w:r>
    </w:p>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These tax reform provisions include the extension and modification of certain provisions of the Tax Cuts and Jobs Act and were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three and nine months ended September 30, 2026.</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4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61"/>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cash provided by operating activities was $29.4 million, representing a year-over-year increase of $28.6 million, or 3,392%. This increase was primarily attributable to an increase in net income and movements in working capital, primarily due to higher collections of accounts receivable as compared to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During the nine months ended September 30, 2026, cash used in investing activities was $25.0 million, representing a $6.0 million increase compared to the prior year comparable period. The increase is primarily attributable to increased expenditures for property, plant, and equipment and intangible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$12.3 million for the nine months ended September 30, 2026, compared to net cash provided by financing activities of $26.2 million for the nine months ended September 30, 2025. During the nine months ended September 30, 2026, net payments of debt were approximately $10.0 million compared to net borrowings of debt of $27.7 million in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 decrease of $1.2 million in the nine months ended September 30, 2026, compared to an increase of $1.4 million for the nine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0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As of September 30, 2026, we had cash and cash equivalents totaling $19.0 million and $101.7 million of unused commitments under our Credit Agreement with borrowings of $172.3 million (consisting of $85.0 million under the revolving credit facility and $87.3 million under the term loan, net of unamortized debt issuance costs) and $3.3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98" w:lineRule="exact"/>
        <w:rPr>
          <w:sz w:val="20"/>
          <w:szCs w:val="20"/>
          <w:color w:val="auto"/>
        </w:rPr>
      </w:pPr>
    </w:p>
    <w:p>
      <w:pPr>
        <w:jc w:val="both"/>
        <w:ind w:right="640"/>
        <w:spacing w:after="0" w:line="261" w:lineRule="auto"/>
        <w:rPr>
          <w:sz w:val="20"/>
          <w:szCs w:val="20"/>
          <w:color w:val="auto"/>
        </w:rPr>
      </w:pPr>
      <w:r>
        <w:rPr>
          <w:rFonts w:ascii="Times New Roman" w:cs="Times New Roman" w:eastAsia="Times New Roman" w:hAnsi="Times New Roman"/>
          <w:sz w:val="18"/>
          <w:szCs w:val="18"/>
          <w:color w:val="auto"/>
        </w:rPr>
        <w:t>As of September 30, 2026, we were in compliance with the terms of the Credit Agreement and will continuously monitor our compliance with the covenants contained in the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203"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3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 xml:space="preserve">Except for the Amendment to the Credit Agreement described in Note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there have been no significant changes in our contractual obligations and outstanding indebtedness from those disclosed in our 2025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as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2025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2025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Senior Executive Vice President, Chief Financial Officer, of the effectiveness of the design and operation of our disclosure controls and procedures (as defined in Rule 13a-15(e) under the Exchange Act). Based upon that evaluation, our President and Chief Executive Officer and our Senior Executive Vice President, Chief Financial Officer concluded that, as of September 30, 2026,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2026 that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See Note 13 - </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legal proceedings and no material developments with regard to any matters disclosed under Part I, Item 3 "Legal Proceedings" in our 2025 Annual Report, except as disclosed herein under Note 13 - </w:t>
      </w:r>
      <w:r>
        <w:rPr>
          <w:rFonts w:ascii="Times New Roman" w:cs="Times New Roman" w:eastAsia="Times New Roman" w:hAnsi="Times New Roman"/>
          <w:sz w:val="18"/>
          <w:szCs w:val="18"/>
          <w:b w:val="1"/>
          <w:bCs w:val="1"/>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to the Notes to the Unaudited Condensed Consolidated Financial Statements.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2025 Annual Report, which could materially affect our business, financial condition or future results. Except as set forth below, there have been no material changes to the risk factors previously disclosed in the 2025 Annual Report. The risk factors set forth below supplement, and should be read together with, the risk factors in the 2025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Pending Merger</w:t>
      </w:r>
    </w:p>
    <w:p>
      <w:pPr>
        <w:spacing w:after="0" w:line="25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 xml:space="preserve">On September 17, 2026, the Company entered into the Merger Agreement with Parent and Acquisition Sub, pursuant to which, subject to the terms and conditions of the Merger Agreement, Acquisition Sub will be merged with and into the Company, with the Company surviving the Merger as a wholly owned subsidiary of Parent. Parent and Acquisition Sub are controlled by funds affiliated with H.I.G. At the Effective Time, each outstanding share of our common stock (other than certain excluded and dissenting shares) will be converted into the right to receive $20.35 in cash, without interest and less applicable withholding taxes. See Note 1 – </w:t>
      </w:r>
      <w:r>
        <w:rPr>
          <w:rFonts w:ascii="Times New Roman" w:cs="Times New Roman" w:eastAsia="Times New Roman" w:hAnsi="Times New Roman"/>
          <w:sz w:val="18"/>
          <w:szCs w:val="18"/>
          <w:i w:val="1"/>
          <w:iCs w:val="1"/>
          <w:color w:val="auto"/>
        </w:rPr>
        <w:t>Description of Business and Basis of Presentation</w:t>
      </w:r>
      <w:r>
        <w:rPr>
          <w:rFonts w:ascii="Times New Roman" w:cs="Times New Roman" w:eastAsia="Times New Roman" w:hAnsi="Times New Roman"/>
          <w:sz w:val="18"/>
          <w:szCs w:val="18"/>
          <w:color w:val="auto"/>
        </w:rPr>
        <w:t xml:space="preserve"> to the Unaudited Condensed Consolidated Financial Statements for additional information.</w:t>
      </w:r>
    </w:p>
    <w:p>
      <w:pPr>
        <w:spacing w:after="0" w:line="20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completed on the anticipated timeline or at all, and failure to complete the Merger could adversely affect our business, financial condition, results of operations and stock price.</w:t>
      </w:r>
    </w:p>
    <w:p>
      <w:pPr>
        <w:spacing w:after="0" w:line="18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Completion of the Merger is subject to the satisfaction or, where permitted, waiver of a number of conditions, including (i) the adoption of the Merger Agreement by the Company’s stockholders; (ii) the expiration or termination of the applicable waiting period under the HSR Act (which was terminated effective October 22, 2026) and the expiration or termination of applicable waiting periods, or receipt of applicable approvals, under specified non-U.S. competition laws; (iii) the completion of required regulatory actions relating to our U.S. Nuclear Regulatory Commission and Agreement State licenses;</w:t>
      </w:r>
    </w:p>
    <w:p>
      <w:pPr>
        <w:spacing w:after="0" w:line="3" w:lineRule="exact"/>
        <w:rPr>
          <w:sz w:val="20"/>
          <w:szCs w:val="20"/>
          <w:color w:val="auto"/>
        </w:rPr>
      </w:pPr>
    </w:p>
    <w:p>
      <w:pPr>
        <w:ind w:right="20" w:firstLine="8"/>
        <w:spacing w:after="0" w:line="252" w:lineRule="auto"/>
        <w:tabs>
          <w:tab w:leader="none" w:pos="3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prohibiting the consummation of the Merger; and (v) other customary conditions, including the accuracy of our representations and warranties (subject to specified materiality standards), our compliance in all material respects with our covenants and the absence of a Company Material Adverse Effect (as defined in the Merger Agreement). Any such required consents and approvals may not be received at all, may not be received in a timely fashion, or may impose conditions on the completion of the Merger. We cannot assure you that all of the conditions in the Merger Agreement will be satisfied or waived on a timely basis or at all. If the conditions in the Merger Agreement are not satisfied or waived on a timely basis or at all, we may be unable to complete the Merger in the timeframe or manner currently anticipated or at all.</w:t>
      </w:r>
    </w:p>
    <w:p>
      <w:pPr>
        <w:spacing w:after="0" w:line="21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If the Merger is not completed for any reason, our stockholders will not receive any payment for their shares in connection with the Merger, and we will remain a public company subject to the same risks to which we are currently subject. In addition, we may be subject to a number of risks, including the following:</w:t>
      </w:r>
    </w:p>
    <w:p>
      <w:pPr>
        <w:spacing w:after="0" w:line="203" w:lineRule="exact"/>
        <w:rPr>
          <w:sz w:val="20"/>
          <w:szCs w:val="20"/>
          <w:color w:val="auto"/>
        </w:rPr>
      </w:pPr>
    </w:p>
    <w:p>
      <w:pPr>
        <w:ind w:left="660" w:right="80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securities could decline to the extent that the current market price reflects an assumption that the Merger will be completed;</w:t>
      </w:r>
    </w:p>
    <w:p>
      <w:pPr>
        <w:ind w:left="660" w:right="54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management of time and resources to the Merger could prevent management from pursuing other opportunities that could otherwise have been beneficial for the Company;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or from our clients, business partners or employees;</w:t>
      </w:r>
    </w:p>
    <w:p>
      <w:pPr>
        <w:spacing w:after="0" w:line="9" w:lineRule="exact"/>
        <w:rPr>
          <w:rFonts w:ascii="Times New Roman" w:cs="Times New Roman" w:eastAsia="Times New Roman" w:hAnsi="Times New Roman"/>
          <w:sz w:val="18"/>
          <w:szCs w:val="18"/>
          <w:color w:val="auto"/>
        </w:rPr>
      </w:pPr>
    </w:p>
    <w:p>
      <w:pPr>
        <w:ind w:left="660" w:right="380" w:hanging="328"/>
        <w:spacing w:after="0" w:line="265"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disrupted by the announcement and pendency of the Merger, including adverse changes in our relationships with clients, suppliers, partners and employees that may continue or intensify in the event the Merger is not consummated or is significantly delayed;</w:t>
      </w:r>
    </w:p>
    <w:p>
      <w:pPr>
        <w:ind w:left="660" w:right="12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key personnel and recruit prospective employees, and our current employees could be distracted, and their productivity decline as a result, due to uncertainty regarding the Merger;</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pursue alternative business opportunities, make changes to our business pending the completion of the Merger or conduct our business on the same terms as we have in the past; and</w:t>
      </w:r>
    </w:p>
    <w:p>
      <w:pPr>
        <w:ind w:left="660" w:right="14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expect to continue incurring, significant costs, expenses, and fees for professional services and other Merger-related costs, for which we may receive little or no benefit if the Merger is not completed, and many of these fees and costs will be payable by us even if the Merger is not completed.</w:t>
      </w:r>
    </w:p>
    <w:p>
      <w:pPr>
        <w:spacing w:after="0" w:line="20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restrictions on the conduct of our business prior to the completion of the Merger, which could adversely affect our business and operations.</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Merger Agreement generally requires us to conduct our business in the ordinary course consistent with past practice and, subject to specified exceptions or Parent’s prior written consent (not to be unreasonably withheld, conditioned or delayed), restricts us from taking certain actions until the earlier of the completion of the Merger and the termination of the Merger Agreement. Among other things, these restrictions limit our ability to make capital expenditures in excess of an agreed budget and specified thresholds, acquire or dispose of businesses or assets above specified thresholds, incur indebtedness, pay dividends or repurchase stock, enter into or amend material contracts, enter into a new line of business, and increase compensation or benefits or hire or terminate certain employees. These restrictions may prevent us from pursuing business opportunities that arise prior to the completion of the Merger, from responding effectively to competitive pressures or industry developments, or from taking other actions that we might otherwise consider to be in our best interests, and could adversely affect our business, financial condition and results of operations, particularly if the Merger is delayed or not completed.</w:t>
      </w:r>
    </w:p>
    <w:p>
      <w:pPr>
        <w:spacing w:after="0" w:line="21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substantial transaction costs in connection with the Merger, and we may be required to pay Parent a termination fee or reimburse Parent’s expenses if the Merger Agreement is terminated under specified circumstances.</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expenses and fees for professional services and other transaction costs in connection with the Merger, including the costs of the go-shop process and of obtaining required regulatory approvals, substantially all of which are payable whether or not the Merger is completed. In addition, if the Merger Agreement is terminated under specified circumstances, we could be required to pay Parent a termination fee of approximately $27.5 million (the “Company Termination Fee”). Had we terminated the Merger Agreement during the go-shop period, which expired on October 27, 2026, to enter into a definitive agreement providing for a superior proposal, the fee would have been reduced to approximately $13.8 million. In addition, if Parent terminates the Merger Agreement as a result of our willful and material breach, we could be required to reimburse Parent’s reasonable and documented out-of-pocket expenses up to $7.0 million, which amount would be credited against any Company Termination Fee subsequently payable. Payment of these amounts could require us to use available cash that would otherwise have been available for operations or other purposes and could adversely affect our financial condition, results of operations and cash flows.</w:t>
      </w:r>
    </w:p>
    <w:p>
      <w:pPr>
        <w:spacing w:after="0" w:line="21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limits our ability to pursue alternatives to the Merger, which may discourage other companies from making a favorable alternative transaction proposal.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permitted us to solicit alternative acquisition proposals during a go-shop period that expired at 11:59 p.m. Eastern Time on October</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27, 2026. During the go-shop period, our financial advisor contacted, or was contacted by, 122 third parties, and no alternative acquisition proposals were received.</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Merger Agreement contains provisions that, subject to certain exceptions, limit our ability to solicit, initiate, knowingly encourage or facilitate, or engage in discussions or negotiations with respect to, alternative third-party acquisition proposals. These provisions or other provisions in the Merger Agreement could discourage a potential competing acquiror that might have an interest in acquiring all or a significant portion of the Company or pursuing an alternative transaction from considering or proposing such a transaction.</w:t>
      </w:r>
    </w:p>
    <w:p>
      <w:pPr>
        <w:spacing w:after="0" w:line="20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proceedings against the Company relating to the Merger could result in substantial costs or otherwise negatively impact our business, operating results and financial condition.</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15, 2026 and October 23, 2026, the Company received two letters from counsel for purported stockholders of the Company demanding, pursuant to Section 220 of the Delaware General Corporation Law, inspection of certain of our books and records relating to the Merger. The letters state that the stockholders may file suit or pursue other legal relief relating to the Merger. The Company has also received demand letters from certain purported stockholders of the Company seeking additional disclosure in advance of the stockholder vote. Additional demands may be made, and litigation relating to the Merger may be filed, against the Company, Parent, their respective affiliates and/or their respective boards of directors and management. The outcome of any litigation is uncertain and any such lawsuits could prevent or delay the completion of the Merger and result in</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significant costs. The litigation costs, including costs associated with our indemnification obligations to our directors and officers, and diversion of management’s attention and resources to address the claims in any litigation related to the Merger, may adversely affect our business, results of operations, prospects, and financial condition. In addition, any litigation related to the Merger may result in negative publicity or an unfavorable impression of the Company, which could adversely affect the price of our common stock, impair our ability to recruit or retain employees, damage our relationships with our clients and business partners, or otherwise harm our operations and financial performance.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 may cause a loss of our employees during the pendency of the Merger.</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No assurance can be given that we will be able to retain key employees to the same extent that we have been able to in the past. The Company may lose significant expertise and talent, and the loss of any member of the senior management team could impair the Company’s ability to execute its business plan and growth strategy. Our current and prospective employees may experience uncertainty about their future roles following the Merger, which may materially adversely affect our ability to attract, retain, and motivate key personnel during the pendency of the Merger. Our employees could lose productivity as a result of uncertainty regarding their employment following the Merger. The loss of key personnel during the pendency of the Merger could adversely affect our business and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Merger is completed, our stockholders will forgo the opportunity to benefit from potential future appreciation in value of the Company.</w:t>
      </w:r>
    </w:p>
    <w:p>
      <w:pPr>
        <w:spacing w:after="0" w:line="24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Merger Agreement provides for the stockholders of record of our common stock to receive cash consideration of $20.35 per share of our common stock, without interest, upon the closing of the transactions contemplated by the Merger Agreement. If the Merger is completed, our stockholders will no longer hold interests in the Company and will not participate in any future earnings or growth of the Company or benefit from any appreciation in its value.</w:t>
      </w:r>
    </w:p>
    <w:p>
      <w:pPr>
        <w:spacing w:after="0" w:line="200" w:lineRule="exact"/>
        <w:rPr>
          <w:sz w:val="20"/>
          <w:szCs w:val="20"/>
          <w:color w:val="auto"/>
        </w:rPr>
      </w:pPr>
    </w:p>
    <w:p>
      <w:pPr>
        <w:spacing w:after="0" w:line="2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or settlement of restricted stock units.</w:t>
      </w:r>
    </w:p>
    <w:tbl>
      <w:tblPr>
        <w:tblLayout w:type="fixed"/>
        <w:tblInd w:w="0" w:type="dxa"/>
        <w:tblCellMar>
          <w:top w:w="0" w:type="dxa"/>
          <w:left w:w="0" w:type="dxa"/>
          <w:bottom w:w="0" w:type="dxa"/>
          <w:right w:w="0" w:type="dxa"/>
        </w:tblCellMar>
      </w:tblPr>
      <w:tr>
        <w:trPr>
          <w:trHeight w:val="146"/>
        </w:trPr>
        <w:tc>
          <w:tcPr>
            <w:tcW w:w="40" w:type="dxa"/>
            <w:vAlign w:val="bottom"/>
          </w:tcPr>
          <w:p>
            <w:pPr>
              <w:spacing w:after="0"/>
              <w:rPr>
                <w:sz w:val="12"/>
                <w:szCs w:val="12"/>
                <w:color w:val="auto"/>
              </w:rPr>
            </w:pPr>
          </w:p>
        </w:tc>
        <w:tc>
          <w:tcPr>
            <w:tcW w:w="3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100" w:type="dxa"/>
            <w:vAlign w:val="bottom"/>
            <w:vMerge w:val="restart"/>
          </w:tcPr>
          <w:p>
            <w:pPr>
              <w:spacing w:after="0"/>
              <w:rPr>
                <w:sz w:val="12"/>
                <w:szCs w:val="12"/>
                <w:color w:val="auto"/>
              </w:rPr>
            </w:pPr>
          </w:p>
        </w:tc>
        <w:tc>
          <w:tcPr>
            <w:tcW w:w="2640" w:type="dxa"/>
            <w:vAlign w:val="bottom"/>
          </w:tcPr>
          <w:p>
            <w:pPr>
              <w:jc w:val="center"/>
              <w:ind w:left="568"/>
              <w:spacing w:after="0" w:line="147"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jc w:val="right"/>
              <w:ind w:right="837"/>
              <w:spacing w:after="0" w:line="147"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64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31, 2026</w:t>
            </w:r>
          </w:p>
        </w:tc>
        <w:tc>
          <w:tcPr>
            <w:tcW w:w="26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August 31, 2026</w:t>
            </w:r>
          </w:p>
        </w:tc>
        <w:tc>
          <w:tcPr>
            <w:tcW w:w="26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2026</w:t>
            </w:r>
          </w:p>
        </w:tc>
        <w:tc>
          <w:tcPr>
            <w:tcW w:w="26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79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None.</w:t>
            </w: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2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17, 2026, the Company entered into the Merger Agreement. See Part I, Item 2 “Management’s Discussion and Analysis of Financial</w:t>
      </w:r>
    </w:p>
    <w:p>
      <w:pPr>
        <w:spacing w:after="0" w:line="3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Condition and Results of Operations” for more information. Upon closing the Merger, the Company will become a private company owned by funds affiliated with H.I.G. As such, the Company will not hold a conference call to discuss the Company’s financial results for the three- and nine-month periods ended September 30, 2026 and will not provide its outlook for the remainder of 2026 or any future periods.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3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1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6"/>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20" w:type="dxa"/>
            <w:vAlign w:val="bottom"/>
            <w:gridSpan w:val="10"/>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340" w:type="dxa"/>
            <w:vAlign w:val="bottom"/>
            <w:gridSpan w:val="3"/>
          </w:tcPr>
          <w:p>
            <w:pPr>
              <w:ind w:left="20"/>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3"/>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Agreement and Plan of Merger, dated as of September 17, 2026, by and among Athena Purchaser, LLC, Athena Merger Sub, Inc. and</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Mistras Group, Inc. (filed as Exhibit 2.1 to the Company’s Current Report on Form 8-K filed on September 18, 2026).</w:t>
              </w:r>
            </w:hyperlink>
          </w:p>
        </w:tc>
        <w:tc>
          <w:tcPr>
            <w:tcW w:w="110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507"/>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6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Form of Voting Agreement (director and officer form) (filed as Exhibit 10.1 to the Company’s Current Report on Form 8-K filed 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September 18, 2026).</w:t>
              </w:r>
            </w:hyperlink>
          </w:p>
        </w:tc>
        <w:tc>
          <w:tcPr>
            <w:tcW w:w="7940" w:type="dxa"/>
            <w:vAlign w:val="bottom"/>
            <w:tcBorders>
              <w:top w:val="single" w:sz="8" w:color="0000FF"/>
            </w:tcBorders>
            <w:gridSpan w:val="7"/>
          </w:tcPr>
          <w:p>
            <w:pPr>
              <w:spacing w:after="0"/>
              <w:rPr>
                <w:sz w:val="13"/>
                <w:szCs w:val="13"/>
                <w:color w:val="auto"/>
              </w:rPr>
            </w:pPr>
          </w:p>
        </w:tc>
        <w:tc>
          <w:tcPr>
            <w:tcW w:w="2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507"/>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6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Voting Agreement (stockholder form) (filed as Exhibit 10.2 to the Company’s Current Report on Form 8-K filed on September</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gridSpan w:val="3"/>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18, 2026).</w:t>
              </w:r>
            </w:hyperlink>
          </w:p>
        </w:tc>
        <w:tc>
          <w:tcPr>
            <w:tcW w:w="82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507"/>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of Retention Bonus Letter Agreement.</w:t>
            </w:r>
          </w:p>
        </w:tc>
      </w:tr>
      <w:tr>
        <w:trPr>
          <w:trHeight w:val="20"/>
        </w:trPr>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3"/>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6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Amendment to Credit Agreement, dated August 5, 2026 (incorporated by reference to Exhibit 10.1 to the Company’s Quarterly Report 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Form 10-Q for the quarter ended June 30, 2026, filed on August 10, 2026).</w:t>
              </w:r>
            </w:hyperlink>
          </w:p>
        </w:tc>
        <w:tc>
          <w:tcPr>
            <w:tcW w:w="454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r>
      <w:tr>
        <w:trPr>
          <w:trHeight w:val="507"/>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1980" w:type="dxa"/>
            <w:vAlign w:val="bottom"/>
            <w:gridSpan w:val="6"/>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493"/>
        </w:trPr>
        <w:tc>
          <w:tcPr>
            <w:tcW w:w="20" w:type="dxa"/>
            <w:vAlign w:val="bottom"/>
          </w:tcPr>
          <w:p>
            <w:pPr>
              <w:spacing w:after="0"/>
              <w:rPr>
                <w:sz w:val="24"/>
                <w:szCs w:val="24"/>
                <w:color w:val="auto"/>
              </w:rPr>
            </w:pPr>
          </w:p>
        </w:tc>
        <w:tc>
          <w:tcPr>
            <w:tcW w:w="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2040" w:type="dxa"/>
            <w:vAlign w:val="bottom"/>
            <w:gridSpan w:val="7"/>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4"/>
            <w:shd w:val="clear" w:color="auto" w:fill="0000FF"/>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11"/>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310"/>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310"/>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310"/>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310"/>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51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108"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320" w:top="118" w:right="6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Retention Bonus Letter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Retention Bonus Award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 ]:</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you may know, Mistras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entered into an Agreement and Plan of Merger, pursuant to which the Company will be acquired by an affiliate of H.I.G. Capital, LLC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We are pleased to inform you that, in connection with the Merger, the Company has determined that you are eligible to receive a cash bonus in accordance with the terms and conditions set forth in this letter agreement. Capitalized terms used but not defined in this letter agreement have the meaning given to such terms on Annex A attached to this letter agreement.</w:t>
      </w:r>
    </w:p>
    <w:p>
      <w:pPr>
        <w:spacing w:after="0" w:line="206" w:lineRule="exact"/>
        <w:rPr>
          <w:sz w:val="20"/>
          <w:szCs w:val="20"/>
          <w:color w:val="auto"/>
        </w:rPr>
      </w:pPr>
    </w:p>
    <w:p>
      <w:pPr>
        <w:jc w:val="both"/>
        <w:ind w:firstLine="8"/>
        <w:spacing w:after="0" w:line="236" w:lineRule="auto"/>
        <w:tabs>
          <w:tab w:leader="none" w:pos="2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You are eligible to receive a retention bonus equal to $[●]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Award will vest and become payable by the Company as follows: (i) 50.0% of the Award will vest and become payable upon the closing date of the Merger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(ii) 50.0% of the Award will vest and become payable on the 12-month anniversary of the Closing Date (the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in each case, subject to your continued employment with the Company or one of its subsidiaries or affiliates through the applicable vesting date. Each vested portion of the Award will be paid to you no later than 30 days following the applicable vesting date in accordance with payroll practices.</w:t>
      </w:r>
    </w:p>
    <w:p>
      <w:pPr>
        <w:spacing w:after="0" w:line="208" w:lineRule="exact"/>
        <w:rPr>
          <w:rFonts w:ascii="Times New Roman" w:cs="Times New Roman" w:eastAsia="Times New Roman" w:hAnsi="Times New Roman"/>
          <w:sz w:val="22"/>
          <w:szCs w:val="22"/>
          <w:color w:val="auto"/>
        </w:rPr>
      </w:pPr>
    </w:p>
    <w:p>
      <w:pPr>
        <w:ind w:firstLine="8"/>
        <w:spacing w:after="0" w:line="245" w:lineRule="auto"/>
        <w:tabs>
          <w:tab w:leader="none" w:pos="22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or one of its subsidiaries or affiliates may withhold from any amount payable under this letter agreement such federal, tax or local taxes as are required to be withheld pursuant to any applicable law or regulation.</w:t>
      </w:r>
    </w:p>
    <w:p>
      <w:pPr>
        <w:spacing w:after="0" w:line="199" w:lineRule="exact"/>
        <w:rPr>
          <w:rFonts w:ascii="Times New Roman" w:cs="Times New Roman" w:eastAsia="Times New Roman" w:hAnsi="Times New Roman"/>
          <w:sz w:val="22"/>
          <w:szCs w:val="22"/>
          <w:color w:val="auto"/>
        </w:rPr>
      </w:pPr>
    </w:p>
    <w:p>
      <w:pPr>
        <w:jc w:val="both"/>
        <w:ind w:firstLine="8"/>
        <w:spacing w:after="0" w:line="239" w:lineRule="auto"/>
        <w:tabs>
          <w:tab w:leader="none" w:pos="22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You agree to maintain the terms of this letter agreement (including the existence of this letter agreement) as confidential and agree not to reveal its contents and/or terms to anyone except your spouse, and to your attorney, accounting and/or financial consultant, but only to the extent such disclosure is necessary to render professional services in connection therewith.</w:t>
      </w:r>
    </w:p>
    <w:p>
      <w:pPr>
        <w:spacing w:after="0" w:line="207" w:lineRule="exact"/>
        <w:rPr>
          <w:rFonts w:ascii="Times New Roman" w:cs="Times New Roman" w:eastAsia="Times New Roman" w:hAnsi="Times New Roman"/>
          <w:sz w:val="22"/>
          <w:szCs w:val="22"/>
          <w:color w:val="auto"/>
        </w:rPr>
      </w:pPr>
    </w:p>
    <w:p>
      <w:pPr>
        <w:jc w:val="both"/>
        <w:ind w:firstLine="8"/>
        <w:spacing w:after="0" w:line="238" w:lineRule="auto"/>
        <w:tabs>
          <w:tab w:leader="none" w:pos="2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In addition, you agree and acknowledge that as consideration for the Award, your right to receive and retain the Award is subject to and conditioned upon your continued compliance with the restrictive covenants (including without limitation any confidentiality, non-solicitation and non-competition covenants) contained in this letter agreement and any employment, equity, severance or other similar agreement between you and the Company and/or any of its subsidiaries or affiliates. You hereby agree to abide by, and to comply fully with, each such restrictive covenant in accordance with its terms.</w:t>
      </w: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jc w:val="both"/>
        <w:ind w:firstLine="8"/>
        <w:spacing w:after="0" w:line="244" w:lineRule="auto"/>
        <w:tabs>
          <w:tab w:leader="none" w:pos="2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Notwithstanding anything to the contrary herein, if you experience a Qualifying Termination on or after the Closing Date and on or prior to the Second Vesting Date, the Company (or one of its subsidiaries or affiliates) will pay you the unvested</w:t>
      </w:r>
    </w:p>
    <w:p>
      <w:pPr>
        <w:sectPr>
          <w:pgSz w:w="11900" w:h="16838" w:orient="portrait"/>
          <w:cols w:equalWidth="0" w:num="1">
            <w:col w:w="11240"/>
          </w:cols>
          <w:pgMar w:left="320" w:top="1404" w:right="339" w:bottom="1440" w:gutter="0" w:footer="0" w:header="0"/>
        </w:sectPr>
      </w:pPr>
    </w:p>
    <w:bookmarkStart w:id="48" w:name="page49"/>
    <w:bookmarkEnd w:id="48"/>
    <w:p>
      <w:pPr>
        <w:jc w:val="both"/>
        <w:spacing w:after="0" w:line="236" w:lineRule="auto"/>
        <w:rPr>
          <w:sz w:val="20"/>
          <w:szCs w:val="20"/>
          <w:color w:val="auto"/>
        </w:rPr>
      </w:pPr>
      <w:r>
        <w:rPr>
          <w:rFonts w:ascii="Times New Roman" w:cs="Times New Roman" w:eastAsia="Times New Roman" w:hAnsi="Times New Roman"/>
          <w:sz w:val="22"/>
          <w:szCs w:val="22"/>
          <w:color w:val="auto"/>
        </w:rPr>
        <w:t>portion of your Award on the 60th day following the date of your Qualifying Termination, subject to your timely execution and non-revocation of a general release of claims in a form prescribed by the Company within 45 days of your Qualifying Termination. If your employment with the Company or one of its subsidiaries or affiliates is terminated for any reason other than a Qualifying Termination on or prior to the Second Vesting Date or if your Qualifying Termination occurs prior to the Closing Date, your right to any unpaid portion of the Award will be forfeited for no consideration, and the Company will have no further obligations to you under this letter agreement.</w:t>
      </w:r>
    </w:p>
    <w:p>
      <w:pPr>
        <w:spacing w:after="0" w:line="195" w:lineRule="exact"/>
        <w:rPr>
          <w:sz w:val="20"/>
          <w:szCs w:val="20"/>
          <w:color w:val="auto"/>
        </w:rPr>
      </w:pPr>
    </w:p>
    <w:p>
      <w:pPr>
        <w:jc w:val="both"/>
        <w:ind w:firstLine="8"/>
        <w:spacing w:after="0" w:line="243" w:lineRule="auto"/>
        <w:tabs>
          <w:tab w:leader="none" w:pos="24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letter agreement and the Award is intended to comply with, or be exempt from, Section 409A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shall be construed and administered in accordance with Section 409A of the Code. In no event whatsoever shall the Company (or any of its subsidiaries or affiliates) be liable for any additional tax, interest, or penalty that may be imposed on the you by Section 409A of the Code or damages for failing to comply with Section 409A of the Code. Whenever a payment under this Agreement specifies a payment period with reference to a number of days, the actual date of payment within the specified period shall be within the sole discretion of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Notwithstanding anything to the contrary herein, no portion of the Award will be paid during the six-month period following your “separation from service” (within the meaning of Section 409A of the Code) if the Company reasonably determines that paying such amounts at the time or times indicated herein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of the Code without resulting in a prohibited distribution, including as a result of your death), you will be paid a lump-sum amount equal to the cumulative amount that would have otherwise been payable to you during such period (without interest).</w:t>
      </w:r>
    </w:p>
    <w:p>
      <w:pPr>
        <w:spacing w:after="0" w:line="210" w:lineRule="exact"/>
        <w:rPr>
          <w:rFonts w:ascii="Times New Roman" w:cs="Times New Roman" w:eastAsia="Times New Roman" w:hAnsi="Times New Roman"/>
          <w:sz w:val="21"/>
          <w:szCs w:val="21"/>
          <w:color w:val="auto"/>
        </w:rPr>
      </w:pPr>
    </w:p>
    <w:p>
      <w:pPr>
        <w:jc w:val="both"/>
        <w:ind w:firstLine="8"/>
        <w:spacing w:after="0" w:line="255" w:lineRule="auto"/>
        <w:tabs>
          <w:tab w:leader="none" w:pos="24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Change to Employment Relationship</w:t>
      </w:r>
      <w:r>
        <w:rPr>
          <w:rFonts w:ascii="Times New Roman" w:cs="Times New Roman" w:eastAsia="Times New Roman" w:hAnsi="Times New Roman"/>
          <w:sz w:val="21"/>
          <w:szCs w:val="21"/>
          <w:color w:val="auto"/>
        </w:rPr>
        <w:t>. Nothing contained in this letter agreement will (i) confer upon you any right to continue your employment relationship with the Company or its subsidiaries or affiliates, (ii) constitute any contract or agreement of employment with the Company or its subsidiaries or affiliates, or (iii) interfere in any way with the rights of the Company or its subsidiaries or affiliates to terminate your employment relationship at any time, for any reason, with or without Cause.</w:t>
      </w:r>
    </w:p>
    <w:p>
      <w:pPr>
        <w:spacing w:after="0" w:line="188" w:lineRule="exact"/>
        <w:rPr>
          <w:rFonts w:ascii="Times New Roman" w:cs="Times New Roman" w:eastAsia="Times New Roman" w:hAnsi="Times New Roman"/>
          <w:sz w:val="21"/>
          <w:szCs w:val="21"/>
          <w:color w:val="auto"/>
        </w:rPr>
      </w:pPr>
    </w:p>
    <w:p>
      <w:pPr>
        <w:jc w:val="both"/>
        <w:ind w:firstLine="8"/>
        <w:spacing w:after="0" w:line="239" w:lineRule="auto"/>
        <w:tabs>
          <w:tab w:leader="none" w:pos="2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letter agreement constitutes the entire and complete agreement between you and the Company and its subsidiaries and affiliates with respect to the subject matter hereof and supersedes any and all other agreement or arrangements, whether oral or written, between you and the Company or its subsidiaries or affiliates (or any predecessor or representative (including officer, shareholder or director) thereof) with respect to the subject matter hereof.</w:t>
      </w:r>
    </w:p>
    <w:p>
      <w:pPr>
        <w:spacing w:after="0" w:line="193" w:lineRule="exact"/>
        <w:rPr>
          <w:rFonts w:ascii="Times New Roman" w:cs="Times New Roman" w:eastAsia="Times New Roman" w:hAnsi="Times New Roman"/>
          <w:sz w:val="22"/>
          <w:szCs w:val="22"/>
          <w:color w:val="auto"/>
        </w:rPr>
      </w:pPr>
    </w:p>
    <w:p>
      <w:pPr>
        <w:jc w:val="both"/>
        <w:ind w:firstLine="8"/>
        <w:spacing w:after="0" w:line="239" w:lineRule="auto"/>
        <w:tabs>
          <w:tab w:leader="none" w:pos="2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letter agreement will be administered, interpreted and enforced under the laws of the State of Delaware without regard to the conflicts of law principles thereof. </w:t>
      </w:r>
      <w:r>
        <w:rPr>
          <w:rFonts w:ascii="Times New Roman" w:cs="Times New Roman" w:eastAsia="Times New Roman" w:hAnsi="Times New Roman"/>
          <w:sz w:val="22"/>
          <w:szCs w:val="22"/>
          <w:b w:val="1"/>
          <w:bCs w:val="1"/>
          <w:color w:val="auto"/>
        </w:rPr>
        <w:t>In addition, you and the Company hereby waive any right that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 it may have to trial by jury in respect of any litigation based on, arising out of, under, or in connection with this Agreement or any course of conduct, course of dealing, verbal or written statement, or action of any party hereto.</w:t>
      </w:r>
    </w:p>
    <w:p>
      <w:pPr>
        <w:sectPr>
          <w:pgSz w:w="11900" w:h="16838" w:orient="portrait"/>
          <w:cols w:equalWidth="0" w:num="1">
            <w:col w:w="11240"/>
          </w:cols>
          <w:pgMar w:left="320" w:top="1408" w:right="339" w:bottom="1440" w:gutter="0" w:footer="0" w:header="0"/>
        </w:sectPr>
      </w:pPr>
    </w:p>
    <w:bookmarkStart w:id="49" w:name="page50"/>
    <w:bookmarkEnd w:id="49"/>
    <w:p>
      <w:pPr>
        <w:spacing w:after="0" w:line="212" w:lineRule="exact"/>
        <w:rPr>
          <w:sz w:val="20"/>
          <w:szCs w:val="20"/>
          <w:color w:val="auto"/>
        </w:rPr>
      </w:pPr>
    </w:p>
    <w:p>
      <w:pPr>
        <w:jc w:val="both"/>
        <w:ind w:firstLine="8"/>
        <w:spacing w:after="0" w:line="239" w:lineRule="auto"/>
        <w:tabs>
          <w:tab w:leader="none" w:pos="3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Any amount of the Award payable hereunder is a special incentive payment to you and will not be taken into account in computing the amount of salary or compensation for purposes of determining any bonus, incentive, pension, retirement, death, or other benefit under any other bonus, incentive, pension, retirement, insurance, or other employee benefit plan of the Company or its subsidiaries or affiliates.</w:t>
      </w:r>
    </w:p>
    <w:p>
      <w:pPr>
        <w:spacing w:after="0" w:line="207" w:lineRule="exact"/>
        <w:rPr>
          <w:rFonts w:ascii="Times New Roman" w:cs="Times New Roman" w:eastAsia="Times New Roman" w:hAnsi="Times New Roman"/>
          <w:sz w:val="22"/>
          <w:szCs w:val="22"/>
          <w:color w:val="auto"/>
        </w:rPr>
      </w:pPr>
    </w:p>
    <w:p>
      <w:pPr>
        <w:jc w:val="both"/>
        <w:ind w:firstLine="8"/>
        <w:spacing w:after="0" w:line="234" w:lineRule="auto"/>
        <w:tabs>
          <w:tab w:leader="none" w:pos="31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Arrangement</w:t>
      </w:r>
      <w:r>
        <w:rPr>
          <w:rFonts w:ascii="Times New Roman" w:cs="Times New Roman" w:eastAsia="Times New Roman" w:hAnsi="Times New Roman"/>
          <w:sz w:val="22"/>
          <w:szCs w:val="22"/>
          <w:color w:val="auto"/>
        </w:rPr>
        <w:t>. This Agreement shall be an unfunded arrangement. The Company shall not be required to segregate any assets that may at any time be represented by cash or rights thereto, nor shall this Agreement be construed as providing for such segregation, nor shall the Company be deemed to be a trustee of any cash or rights thereto to be granted under this Agreement. Any liability or obligation of the Company to you with respect to the Award shall be based solely upon any contractual obligations that may be created by this Agreement, and no such liability or obligation of the Company shall be deemed to be secured by any pledge or other encumbrance on any property of the Company. The Company shall not be required to give any security or bond for the performance of any obligation that may be created by this Agreement.</w:t>
      </w:r>
    </w:p>
    <w:p>
      <w:pPr>
        <w:spacing w:after="0" w:line="203" w:lineRule="exact"/>
        <w:rPr>
          <w:rFonts w:ascii="Times New Roman" w:cs="Times New Roman" w:eastAsia="Times New Roman" w:hAnsi="Times New Roman"/>
          <w:sz w:val="22"/>
          <w:szCs w:val="22"/>
          <w:color w:val="auto"/>
        </w:rPr>
      </w:pPr>
    </w:p>
    <w:p>
      <w:pPr>
        <w:jc w:val="both"/>
        <w:ind w:firstLine="8"/>
        <w:spacing w:after="0" w:line="244" w:lineRule="auto"/>
        <w:tabs>
          <w:tab w:leader="none" w:pos="3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 In the event that any provision of this Agreement is deemed to be illegal or invalid for any reason, said illegality or invalidity will not affect the remaining parts hereof, but this Agreement will be construed and enforced as if such illegal and invalid provision never existed.</w:t>
      </w:r>
    </w:p>
    <w:p>
      <w:pPr>
        <w:spacing w:after="0" w:line="200" w:lineRule="exact"/>
        <w:rPr>
          <w:rFonts w:ascii="Times New Roman" w:cs="Times New Roman" w:eastAsia="Times New Roman" w:hAnsi="Times New Roman"/>
          <w:sz w:val="22"/>
          <w:szCs w:val="22"/>
          <w:color w:val="auto"/>
        </w:rPr>
      </w:pPr>
    </w:p>
    <w:p>
      <w:pPr>
        <w:ind w:firstLine="8"/>
        <w:spacing w:after="0" w:line="258" w:lineRule="auto"/>
        <w:tabs>
          <w:tab w:leader="none" w:pos="3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will be deemed to be an original but all of which taken together will constitute one and the same instrument.</w:t>
      </w:r>
    </w:p>
    <w:p>
      <w:pPr>
        <w:spacing w:after="0" w:line="185" w:lineRule="exact"/>
        <w:rPr>
          <w:rFonts w:ascii="Times New Roman" w:cs="Times New Roman" w:eastAsia="Times New Roman" w:hAnsi="Times New Roman"/>
          <w:sz w:val="22"/>
          <w:szCs w:val="22"/>
          <w:color w:val="auto"/>
        </w:rPr>
      </w:pPr>
    </w:p>
    <w:p>
      <w:pPr>
        <w:jc w:val="both"/>
        <w:ind w:firstLine="8"/>
        <w:spacing w:after="0" w:line="238" w:lineRule="auto"/>
        <w:tabs>
          <w:tab w:leader="none" w:pos="3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constitutes the entire agreement by you and the Company with respect to the subject matter hereof, and supersedes any and all prior agreements or understandings between you and the Company with respect to the subject matter hereof, whether written or oral.</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Please indicate your acceptance and acknowledgement of, and agreement to, the foregoing by signing and dating the space provided on the next page for your signature. Please retain one fully-executed original for your files.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Mistras Group, Inc.</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22"/>
          <w:szCs w:val="22"/>
          <w:color w:val="auto"/>
        </w:rPr>
        <w:t>I acknowledge that I have carefully read this letter agreement. I accept the provisions, terms, conditions and obligations contained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Acknowledged and Agreed,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__ day of _____________, 2026.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1240"/>
          </w:cols>
          <w:pgMar w:left="320" w:top="140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letter agreement, the following defined terms will have the meanings specified herein: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 if you are a party to an employment, change in control or other agreement or arrangement with the Company or one of its subsidiaries or affiliates, and “Cause” is defined therein, such definition, or (b) otherwise “Cause” will mean, (i) your commission of acts involving fraud, dishonesty, unauthorized disclosure of confidential information, the commission of a felony or other crime involving moral turpitude, or a violation of material Company policies; (ii) direct acts constituting a breach of your duty of loyalty to the Company; (iii) your refusal or failure (other than by reason of serious physical or mental illness, injury, or medical condition) to perform your job, duties and responsibilities, including, but not limited to, any duties or responsibilities reasonably assigned to you by the Board or the Chief Executive Officer of the Company, if such refusal or failure is not remedied within 30 days after you receive written notice thereof from an executive officer or the Board, provided that if you commit the same failure or refusal, no notice or opportunity to remedy need be provided to you; or (iv) material underperformance by you, as reflected in two written performance reviews not less than one month apart.</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if, as of the date hereof, you are a party to an employment, change in control or other agreement or arrangement with the Company or one of its subsidiaries or affiliates, and “Good Reason” is defined therein, such definition, or (ii) otherwise “Good Reason” will not be applicable or apply to you.</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your employment by the Company or one of its subsidiaries or affiliates without Cause or, if, if applicable, the voluntary resignation of your employment with the Company or one of its subsidiaries or affiliates with Good Reason in accordance with the procedure set forth in the definition of Good Reason.</w:t>
      </w:r>
    </w:p>
    <w:p>
      <w:pPr>
        <w:sectPr>
          <w:pgSz w:w="11900" w:h="16838" w:orient="portrait"/>
          <w:cols w:equalWidth="0" w:num="1">
            <w:col w:w="11240"/>
          </w:cols>
          <w:pgMar w:left="320" w:top="140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Natalia Shuman-Fabbri, certify that:</w:t>
      </w:r>
    </w:p>
    <w:p>
      <w:pPr>
        <w:spacing w:after="0" w:line="9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17145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0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30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2026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 2026</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lvl w:ilvl="1">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Roman"/>
      <w:start w:val="4"/>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6"/>
    </w:lvl>
  </w:abstractNum>
  <w:abstractNum w:abstractNumId="20">
    <w:nsid w:val="721DA317"/>
    <w:multiLevelType w:val="hybridMultilevel"/>
    <w:lvl w:ilvl="0">
      <w:lvlJc w:val="left"/>
      <w:lvlText w:val="%1."/>
      <w:numFmt w:val="decimal"/>
      <w:start w:val="10"/>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65" Type="http://schemas.openxmlformats.org/officeDocument/2006/relationships/hyperlink" Target="https://www.sec.gov/Archives/edgar/data/1436126/000114036126037107/ef20082419_ex2-1.htm" TargetMode="External"/><Relationship Id="rId66" Type="http://schemas.openxmlformats.org/officeDocument/2006/relationships/hyperlink" Target="https://www.sec.gov/Archives/edgar/data/1436126/000114036126037107/ef20082419_ex10-1.htm" TargetMode="External"/><Relationship Id="rId67" Type="http://schemas.openxmlformats.org/officeDocument/2006/relationships/hyperlink" Target="https://www.sec.gov/Archives/edgar/data/1436126/000114036126037107/ef20082419_ex10-2.htm" TargetMode="External"/><Relationship Id="rId68" Type="http://schemas.openxmlformats.org/officeDocument/2006/relationships/hyperlink" Target="https://www.sec.gov/Archives/edgar/data/1436126/000162828026055351/amendmentto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2026-11-02T16:17:58Z</dcterms:created>
  <dcterms:modified xsi:type="dcterms:W3CDTF">2026-11-02T16:17:58Z</dcterms:modified>
</cp:coreProperties>
</file>