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7" w:lineRule="exact"/>
        <w:rPr>
          <w:sz w:val="24"/>
          <w:szCs w:val="24"/>
          <w:color w:val="auto"/>
        </w:rPr>
      </w:pPr>
    </w:p>
    <w:p>
      <w:pPr>
        <w:ind w:left="3760" w:right="1880" w:hanging="3657"/>
        <w:spacing w:after="0" w:line="516" w:lineRule="auto"/>
        <w:tabs>
          <w:tab w:leader="none" w:pos="38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November 30, 2016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380" w:right="1880" w:hanging="4525"/>
        <w:spacing w:after="0" w:line="516" w:lineRule="auto"/>
        <w:tabs>
          <w:tab w:leader="none" w:pos="360" w:val="left"/>
        </w:tabs>
        <w:rPr>
          <w:sz w:val="20"/>
          <w:szCs w:val="20"/>
          <w:color w:val="auto"/>
        </w:rPr>
      </w:pPr>
      <w:r>
        <w:rPr>
          <w:rFonts w:ascii="Times New Roman" w:cs="Times New Roman" w:eastAsia="Times New Roman" w:hAnsi="Times New Roman"/>
          <w:sz w:val="18"/>
          <w:szCs w:val="18"/>
          <w:b w:val="1"/>
          <w:bCs w:val="1"/>
          <w:color w:val="auto"/>
        </w:rPr>
        <w:t>o</w:t>
        <w:tab/>
        <w:t>TRANSITION REPORT PURSUANT TO SECTION 13 OR 15(d) OF THE SECURITIES EXCHANGE ACT OF 1934 For the transition period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105410</wp:posOffset>
            </wp:positionV>
            <wp:extent cx="3215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167640</wp:posOffset>
            </wp:positionV>
            <wp:extent cx="3215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33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22-3341267</w:t>
            </w:r>
          </w:p>
        </w:tc>
      </w:tr>
      <w:tr>
        <w:trPr>
          <w:trHeight w:val="252"/>
        </w:trPr>
        <w:tc>
          <w:tcPr>
            <w:tcW w:w="33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54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3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54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18"/>
        </w:trPr>
        <w:tc>
          <w:tcPr>
            <w:tcW w:w="33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195 Clarksville Road</w:t>
            </w:r>
          </w:p>
        </w:tc>
        <w:tc>
          <w:tcPr>
            <w:tcW w:w="4540" w:type="dxa"/>
            <w:vAlign w:val="bottom"/>
          </w:tcPr>
          <w:p>
            <w:pPr>
              <w:spacing w:after="0"/>
              <w:rPr>
                <w:sz w:val="24"/>
                <w:szCs w:val="24"/>
                <w:color w:val="auto"/>
              </w:rPr>
            </w:pPr>
          </w:p>
        </w:tc>
      </w:tr>
      <w:tr>
        <w:trPr>
          <w:trHeight w:val="238"/>
        </w:trPr>
        <w:tc>
          <w:tcPr>
            <w:tcW w:w="33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Princeton Junction, New Jersey</w:t>
            </w:r>
          </w:p>
        </w:tc>
        <w:tc>
          <w:tcPr>
            <w:tcW w:w="4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08550</w:t>
            </w:r>
          </w:p>
        </w:tc>
      </w:tr>
      <w:tr>
        <w:trPr>
          <w:trHeight w:val="270"/>
        </w:trPr>
        <w:tc>
          <w:tcPr>
            <w:tcW w:w="33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54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59"/>
        </w:trPr>
        <w:tc>
          <w:tcPr>
            <w:tcW w:w="3320" w:type="dxa"/>
            <w:vAlign w:val="bottom"/>
          </w:tcPr>
          <w:p>
            <w:pPr>
              <w:spacing w:after="0"/>
              <w:rPr>
                <w:sz w:val="24"/>
                <w:szCs w:val="24"/>
                <w:color w:val="auto"/>
              </w:rPr>
            </w:pPr>
          </w:p>
        </w:tc>
        <w:tc>
          <w:tcPr>
            <w:tcW w:w="4540" w:type="dxa"/>
            <w:vAlign w:val="bottom"/>
          </w:tcPr>
          <w:p>
            <w:pPr>
              <w:jc w:val="right"/>
              <w:ind w:right="2870"/>
              <w:spacing w:after="0"/>
              <w:rPr>
                <w:sz w:val="20"/>
                <w:szCs w:val="20"/>
                <w:color w:val="auto"/>
              </w:rPr>
            </w:pPr>
            <w:r>
              <w:rPr>
                <w:rFonts w:ascii="Times New Roman" w:cs="Times New Roman" w:eastAsia="Times New Roman" w:hAnsi="Times New Roman"/>
                <w:sz w:val="18"/>
                <w:szCs w:val="18"/>
                <w:b w:val="1"/>
                <w:bCs w:val="1"/>
                <w:color w:val="auto"/>
              </w:rPr>
              <w:t>(609) 716-4000</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180340</wp:posOffset>
            </wp:positionV>
            <wp:extent cx="3215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both"/>
        <w:ind w:right="220"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52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o No</w:t>
      </w:r>
    </w:p>
    <w:p>
      <w:pPr>
        <w:spacing w:after="0" w:line="223" w:lineRule="exact"/>
        <w:rPr>
          <w:sz w:val="24"/>
          <w:szCs w:val="24"/>
          <w:color w:val="auto"/>
        </w:rPr>
      </w:pPr>
    </w:p>
    <w:p>
      <w:pPr>
        <w:jc w:val="both"/>
        <w:ind w:right="240"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1052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o No</w:t>
      </w:r>
    </w:p>
    <w:p>
      <w:pPr>
        <w:spacing w:after="0" w:line="22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25" w:right="239" w:bottom="1440" w:gutter="0" w:footer="0" w:header="0"/>
        </w:sectPr>
      </w:pPr>
    </w:p>
    <w:p>
      <w:pPr>
        <w:spacing w:after="0" w:line="153"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63" w:lineRule="exact"/>
        <w:rPr>
          <w:sz w:val="24"/>
          <w:szCs w:val="24"/>
          <w:color w:val="auto"/>
        </w:rPr>
      </w:pPr>
    </w:p>
    <w:p>
      <w:pPr>
        <w:sectPr>
          <w:pgSz w:w="11900" w:h="16838" w:orient="portrait"/>
          <w:cols w:equalWidth="0" w:num="2">
            <w:col w:w="7660" w:space="720"/>
            <w:col w:w="3040"/>
          </w:cols>
          <w:pgMar w:left="240" w:top="225" w:right="239" w:bottom="1440" w:gutter="0" w:footer="0" w:header="0"/>
          <w:type w:val="continuous"/>
        </w:sectPr>
      </w:pPr>
    </w:p>
    <w:p>
      <w:pPr>
        <w:ind w:left="262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74" w:lineRule="exact"/>
        <w:rPr>
          <w:sz w:val="24"/>
          <w:szCs w:val="24"/>
          <w:color w:val="auto"/>
        </w:rPr>
      </w:pPr>
    </w:p>
    <w:p>
      <w:pPr>
        <w:sectPr>
          <w:pgSz w:w="11900" w:h="16838" w:orient="portrait"/>
          <w:cols w:equalWidth="0" w:num="2">
            <w:col w:w="7280" w:space="720"/>
            <w:col w:w="3420"/>
          </w:cols>
          <w:pgMar w:left="240" w:top="225" w:right="2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ectPr>
          <w:pgSz w:w="11900" w:h="16838" w:orient="portrait"/>
          <w:cols w:equalWidth="0" w:num="1">
            <w:col w:w="11420"/>
          </w:cols>
          <w:pgMar w:left="240" w:top="225" w:right="239" w:bottom="1440" w:gutter="0" w:footer="0" w:header="0"/>
          <w:type w:val="continuous"/>
        </w:sectPr>
      </w:pPr>
    </w:p>
    <w:p>
      <w:pPr>
        <w:spacing w:after="0" w:line="26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o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January 2, 2017, the registrant had 28,796,487 shares of common stock outstanding and 420,258 shares of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10700" w:type="dxa"/>
            <w:vAlign w:val="bottom"/>
            <w:gridSpan w:val="24"/>
          </w:tcPr>
          <w:p>
            <w:pPr>
              <w:spacing w:after="0" w:line="189"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910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November 30, 2016 (unaudited) and May 31, 2016</w:t>
              </w:r>
            </w:hyperlink>
          </w:p>
        </w:tc>
        <w:tc>
          <w:tcPr>
            <w:tcW w:w="206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Consolidated Statements of Income for the three and six months ended November 30, 2016 and</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November 30, 2015</w:t>
              </w:r>
            </w:hyperlink>
          </w:p>
        </w:tc>
        <w:tc>
          <w:tcPr>
            <w:tcW w:w="7020" w:type="dxa"/>
            <w:vAlign w:val="bottom"/>
            <w:tcBorders>
              <w:top w:val="single" w:sz="8" w:color="0000EE"/>
            </w:tcBorders>
            <w:gridSpan w:val="9"/>
          </w:tcPr>
          <w:p>
            <w:pPr>
              <w:spacing w:after="0"/>
              <w:rPr>
                <w:sz w:val="17"/>
                <w:szCs w:val="17"/>
                <w:color w:val="auto"/>
              </w:rPr>
            </w:pPr>
          </w:p>
        </w:tc>
        <w:tc>
          <w:tcPr>
            <w:tcW w:w="580" w:type="dxa"/>
            <w:vAlign w:val="bottom"/>
            <w:gridSpan w:val="3"/>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Comprehensive Income for the three and six months ended November 30,</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2016 and November 30, 2015</w:t>
              </w:r>
            </w:hyperlink>
          </w:p>
        </w:tc>
        <w:tc>
          <w:tcPr>
            <w:tcW w:w="120" w:type="dxa"/>
            <w:vAlign w:val="bottom"/>
          </w:tcPr>
          <w:p>
            <w:pPr>
              <w:spacing w:after="0"/>
              <w:rPr>
                <w:sz w:val="17"/>
                <w:szCs w:val="17"/>
                <w:color w:val="auto"/>
              </w:rPr>
            </w:pPr>
          </w:p>
        </w:tc>
        <w:tc>
          <w:tcPr>
            <w:tcW w:w="680" w:type="dxa"/>
            <w:vAlign w:val="bottom"/>
            <w:gridSpan w:val="4"/>
          </w:tcPr>
          <w:p>
            <w:pPr>
              <w:jc w:val="right"/>
              <w:ind w:right="2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Consolidated Statements of Cash Flows for the six months ended November 30, 2016 and November</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30, 2015</w:t>
              </w:r>
            </w:hyperlink>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Unaudited Condensed Consolidated Financial Statements</w:t>
              </w:r>
            </w:hyperlink>
          </w:p>
        </w:tc>
        <w:tc>
          <w:tcPr>
            <w:tcW w:w="430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ITEM 2.</w:t>
              </w:r>
            </w:hyperlink>
          </w:p>
        </w:tc>
        <w:tc>
          <w:tcPr>
            <w:tcW w:w="500" w:type="dxa"/>
            <w:vAlign w:val="bottom"/>
            <w:gridSpan w:val="2"/>
          </w:tcPr>
          <w:p>
            <w:pPr>
              <w:spacing w:after="0"/>
              <w:rPr>
                <w:sz w:val="24"/>
                <w:szCs w:val="24"/>
                <w:color w:val="auto"/>
              </w:rPr>
            </w:pPr>
          </w:p>
        </w:tc>
        <w:tc>
          <w:tcPr>
            <w:tcW w:w="9100" w:type="dxa"/>
            <w:vAlign w:val="bottom"/>
            <w:gridSpan w:val="18"/>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20</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Times New Roman" w:cs="Times New Roman" w:eastAsia="Times New Roman" w:hAnsi="Times New Roman"/>
                <w:sz w:val="18"/>
                <w:szCs w:val="18"/>
                <w:color w:val="0000EE"/>
                <w:w w:val="83"/>
              </w:rPr>
            </w:pPr>
            <w:hyperlink w:anchor="page29">
              <w:r>
                <w:rPr>
                  <w:rFonts w:ascii="Times New Roman" w:cs="Times New Roman" w:eastAsia="Times New Roman" w:hAnsi="Times New Roman"/>
                  <w:sz w:val="18"/>
                  <w:szCs w:val="18"/>
                  <w:color w:val="0000EE"/>
                  <w:w w:val="83"/>
                </w:rPr>
                <w:t>ITEM 3.</w:t>
              </w:r>
            </w:hyperlink>
          </w:p>
        </w:tc>
        <w:tc>
          <w:tcPr>
            <w:tcW w:w="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320" w:type="dxa"/>
            <w:vAlign w:val="bottom"/>
            <w:gridSpan w:val="10"/>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gridSpan w:val="3"/>
          </w:tcPr>
          <w:p>
            <w:pPr>
              <w:spacing w:after="0"/>
              <w:rPr>
                <w:sz w:val="24"/>
                <w:szCs w:val="24"/>
                <w:color w:val="auto"/>
              </w:rPr>
            </w:pPr>
          </w:p>
        </w:tc>
        <w:tc>
          <w:tcPr>
            <w:tcW w:w="264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27</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Times New Roman" w:cs="Times New Roman" w:eastAsia="Times New Roman" w:hAnsi="Times New Roman"/>
                <w:sz w:val="18"/>
                <w:szCs w:val="18"/>
                <w:color w:val="0000EE"/>
                <w:w w:val="90"/>
              </w:rPr>
            </w:pPr>
            <w:hyperlink w:anchor="page29">
              <w:r>
                <w:rPr>
                  <w:rFonts w:ascii="Times New Roman" w:cs="Times New Roman" w:eastAsia="Times New Roman" w:hAnsi="Times New Roman"/>
                  <w:sz w:val="18"/>
                  <w:szCs w:val="18"/>
                  <w:color w:val="0000EE"/>
                  <w:w w:val="90"/>
                </w:rPr>
                <w:t>ITEM 4</w:t>
              </w:r>
            </w:hyperlink>
          </w:p>
        </w:tc>
        <w:tc>
          <w:tcPr>
            <w:tcW w:w="580" w:type="dxa"/>
            <w:vAlign w:val="bottom"/>
            <w:gridSpan w:val="3"/>
          </w:tcPr>
          <w:p>
            <w:pPr>
              <w:spacing w:after="0"/>
              <w:rPr>
                <w:sz w:val="24"/>
                <w:szCs w:val="24"/>
                <w:color w:val="auto"/>
              </w:rPr>
            </w:pPr>
          </w:p>
        </w:tc>
        <w:tc>
          <w:tcPr>
            <w:tcW w:w="4320" w:type="dxa"/>
            <w:vAlign w:val="bottom"/>
            <w:gridSpan w:val="10"/>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Controls and Procedures</w:t>
              </w:r>
            </w:hyperlink>
          </w:p>
        </w:tc>
        <w:tc>
          <w:tcPr>
            <w:tcW w:w="478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27</w:t>
              </w:r>
            </w:hyperlink>
          </w:p>
        </w:tc>
      </w:tr>
      <w:tr>
        <w:trPr>
          <w:trHeight w:val="20"/>
        </w:trPr>
        <w:tc>
          <w:tcPr>
            <w:tcW w:w="4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PART II—OTHER INFORMATION</w:t>
              </w:r>
            </w:hyperlink>
          </w:p>
        </w:tc>
        <w:tc>
          <w:tcPr>
            <w:tcW w:w="804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ITEM 1.</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Times New Roman" w:cs="Times New Roman" w:eastAsia="Times New Roman" w:hAnsi="Times New Roman"/>
                <w:sz w:val="18"/>
                <w:szCs w:val="18"/>
                <w:color w:val="0000EE"/>
                <w:w w:val="95"/>
              </w:rPr>
            </w:pPr>
            <w:hyperlink w:anchor="page31">
              <w:r>
                <w:rPr>
                  <w:rFonts w:ascii="Times New Roman" w:cs="Times New Roman" w:eastAsia="Times New Roman" w:hAnsi="Times New Roman"/>
                  <w:sz w:val="18"/>
                  <w:szCs w:val="18"/>
                  <w:color w:val="0000EE"/>
                  <w:w w:val="95"/>
                </w:rPr>
                <w:t>Legal Proceedings</w:t>
              </w:r>
            </w:hyperlink>
          </w:p>
        </w:tc>
        <w:tc>
          <w:tcPr>
            <w:tcW w:w="778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1.A.</w:t>
              </w:r>
            </w:hyperlink>
          </w:p>
        </w:tc>
        <w:tc>
          <w:tcPr>
            <w:tcW w:w="9100" w:type="dxa"/>
            <w:vAlign w:val="bottom"/>
            <w:gridSpan w:val="18"/>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Risk Factors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29</w:t>
              </w:r>
            </w:hyperlink>
          </w:p>
        </w:tc>
      </w:tr>
      <w:tr>
        <w:trPr>
          <w:trHeight w:val="20"/>
        </w:trPr>
        <w:tc>
          <w:tcPr>
            <w:tcW w:w="4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ITEM 2.</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1"/>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Unregistered Sales of Equity Securities and Use of Proceeds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ITEM 3.</w:t>
              </w:r>
            </w:hyperlink>
          </w:p>
        </w:tc>
        <w:tc>
          <w:tcPr>
            <w:tcW w:w="500" w:type="dxa"/>
            <w:vAlign w:val="bottom"/>
            <w:gridSpan w:val="2"/>
          </w:tcPr>
          <w:p>
            <w:pPr>
              <w:spacing w:after="0"/>
              <w:rPr>
                <w:sz w:val="24"/>
                <w:szCs w:val="24"/>
                <w:color w:val="auto"/>
              </w:rPr>
            </w:pPr>
          </w:p>
        </w:tc>
        <w:tc>
          <w:tcPr>
            <w:tcW w:w="4360" w:type="dxa"/>
            <w:vAlign w:val="bottom"/>
            <w:gridSpan w:val="11"/>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Defaults Upon Senior Securities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ITEM 4.</w:t>
              </w:r>
            </w:hyperlink>
          </w:p>
        </w:tc>
        <w:tc>
          <w:tcPr>
            <w:tcW w:w="500" w:type="dxa"/>
            <w:vAlign w:val="bottom"/>
            <w:gridSpan w:val="2"/>
          </w:tcPr>
          <w:p>
            <w:pPr>
              <w:spacing w:after="0"/>
              <w:rPr>
                <w:sz w:val="24"/>
                <w:szCs w:val="24"/>
                <w:color w:val="auto"/>
              </w:rPr>
            </w:pPr>
          </w:p>
        </w:tc>
        <w:tc>
          <w:tcPr>
            <w:tcW w:w="1780" w:type="dxa"/>
            <w:vAlign w:val="bottom"/>
            <w:gridSpan w:val="7"/>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Mine Safety Disclosures</w:t>
              </w:r>
            </w:hyperlink>
          </w:p>
        </w:tc>
        <w:tc>
          <w:tcPr>
            <w:tcW w:w="540" w:type="dxa"/>
            <w:vAlign w:val="bottom"/>
            <w:gridSpan w:val="2"/>
          </w:tcPr>
          <w:p>
            <w:pPr>
              <w:spacing w:after="0"/>
              <w:rPr>
                <w:sz w:val="24"/>
                <w:szCs w:val="24"/>
                <w:color w:val="auto"/>
              </w:rPr>
            </w:pPr>
          </w:p>
        </w:tc>
        <w:tc>
          <w:tcPr>
            <w:tcW w:w="678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ITEM 5.</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Other Information</w:t>
              </w:r>
            </w:hyperlink>
          </w:p>
        </w:tc>
        <w:tc>
          <w:tcPr>
            <w:tcW w:w="460" w:type="dxa"/>
            <w:vAlign w:val="bottom"/>
            <w:gridSpan w:val="2"/>
          </w:tcPr>
          <w:p>
            <w:pPr>
              <w:spacing w:after="0"/>
              <w:rPr>
                <w:sz w:val="24"/>
                <w:szCs w:val="24"/>
                <w:color w:val="auto"/>
              </w:rPr>
            </w:pPr>
          </w:p>
        </w:tc>
        <w:tc>
          <w:tcPr>
            <w:tcW w:w="732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78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ITEM 6.</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Exhibits</w:t>
              </w:r>
            </w:hyperlink>
          </w:p>
        </w:tc>
        <w:tc>
          <w:tcPr>
            <w:tcW w:w="778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00" w:type="dxa"/>
            <w:vAlign w:val="bottom"/>
            <w:gridSpan w:val="4"/>
          </w:tcPr>
          <w:p>
            <w:pPr>
              <w:spacing w:after="0"/>
              <w:rPr>
                <w:rFonts w:ascii="Times New Roman" w:cs="Times New Roman" w:eastAsia="Times New Roman" w:hAnsi="Times New Roman"/>
                <w:sz w:val="18"/>
                <w:szCs w:val="18"/>
                <w:color w:val="0000EE"/>
                <w:w w:val="96"/>
              </w:rPr>
            </w:pPr>
            <w:hyperlink w:anchor="page34">
              <w:r>
                <w:rPr>
                  <w:rFonts w:ascii="Times New Roman" w:cs="Times New Roman" w:eastAsia="Times New Roman" w:hAnsi="Times New Roman"/>
                  <w:sz w:val="18"/>
                  <w:szCs w:val="18"/>
                  <w:color w:val="0000EE"/>
                  <w:w w:val="96"/>
                </w:rPr>
                <w:t>SIGNATURES</w:t>
              </w:r>
            </w:hyperlink>
          </w:p>
        </w:tc>
        <w:tc>
          <w:tcPr>
            <w:tcW w:w="5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83"/>
        </w:trPr>
        <w:tc>
          <w:tcPr>
            <w:tcW w:w="1020" w:type="dxa"/>
            <w:vAlign w:val="bottom"/>
          </w:tcPr>
          <w:p>
            <w:pPr>
              <w:spacing w:after="0"/>
              <w:rPr>
                <w:sz w:val="24"/>
                <w:szCs w:val="24"/>
                <w:color w:val="auto"/>
              </w:rPr>
            </w:pPr>
          </w:p>
        </w:tc>
        <w:tc>
          <w:tcPr>
            <w:tcW w:w="71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Mistras Group, Inc. and Subsidiaries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1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1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00"/>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50"/>
        </w:trPr>
        <w:tc>
          <w:tcPr>
            <w:tcW w:w="10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260" w:type="dxa"/>
            <w:vAlign w:val="bottom"/>
          </w:tcPr>
          <w:p>
            <w:pPr>
              <w:spacing w:after="0"/>
              <w:rPr>
                <w:sz w:val="21"/>
                <w:szCs w:val="21"/>
                <w:color w:val="auto"/>
              </w:rPr>
            </w:pPr>
          </w:p>
        </w:tc>
        <w:tc>
          <w:tcPr>
            <w:tcW w:w="134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May 31, 2016</w:t>
            </w:r>
          </w:p>
        </w:tc>
      </w:tr>
      <w:tr>
        <w:trPr>
          <w:trHeight w:val="235"/>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21,188</w:t>
            </w: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141,367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137,913</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7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9,918</w:t>
            </w: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6,216</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12,711</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200,957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187,946</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78,676</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42,137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43,492</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7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169,220</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1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7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2,341</w:t>
            </w:r>
          </w:p>
        </w:tc>
      </w:tr>
      <w:tr>
        <w:trPr>
          <w:trHeight w:val="297"/>
        </w:trPr>
        <w:tc>
          <w:tcPr>
            <w:tcW w:w="81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492,166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482,675</w:t>
            </w:r>
          </w:p>
        </w:tc>
      </w:tr>
      <w:tr>
        <w:trPr>
          <w:trHeight w:val="210"/>
        </w:trPr>
        <w:tc>
          <w:tcPr>
            <w:tcW w:w="812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10,796</w:t>
            </w: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64,257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62,983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12,553</w:t>
            </w: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7,835</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2,710</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84,900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96,877</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72,456</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Obligations under capital leases, net of current portion</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11,932</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18,328</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6,794</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213,921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206,387</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7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$0.01 par value, 200,000,000 shares authorized</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w:t>
            </w: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215,956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213,737</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82,235</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w:t>
            </w:r>
          </w:p>
        </w:tc>
      </w:tr>
      <w:tr>
        <w:trPr>
          <w:trHeight w:val="237"/>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278,088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276,163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278,245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276,288</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492,166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482,675</w:t>
            </w: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0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2015</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60" w:type="dxa"/>
            <w:vAlign w:val="bottom"/>
          </w:tcPr>
          <w:p>
            <w:pPr>
              <w:spacing w:after="0"/>
              <w:rPr>
                <w:sz w:val="22"/>
                <w:szCs w:val="22"/>
                <w:color w:val="auto"/>
              </w:rPr>
            </w:pPr>
          </w:p>
        </w:tc>
        <w:tc>
          <w:tcPr>
            <w:tcW w:w="14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November 30, 2015</w:t>
            </w:r>
          </w:p>
        </w:tc>
        <w:tc>
          <w:tcPr>
            <w:tcW w:w="0" w:type="dxa"/>
            <w:vAlign w:val="bottom"/>
          </w:tcPr>
          <w:p>
            <w:pPr>
              <w:spacing w:after="0"/>
              <w:rPr>
                <w:sz w:val="1"/>
                <w:szCs w:val="1"/>
                <w:color w:val="auto"/>
              </w:rPr>
            </w:pPr>
          </w:p>
        </w:tc>
      </w:tr>
      <w:tr>
        <w:trPr>
          <w:trHeight w:val="269"/>
        </w:trPr>
        <w:tc>
          <w:tcPr>
            <w:tcW w:w="458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5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176,642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194,786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345,085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374,639</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119,214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256,120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10,320</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52,076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56,925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102,132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108,199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71,526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69,844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engineering</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5,603</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32,501</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29,244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10,967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18,277</w:t>
            </w:r>
          </w:p>
        </w:tc>
        <w:tc>
          <w:tcPr>
            <w:tcW w:w="0" w:type="dxa"/>
            <w:vAlign w:val="bottom"/>
          </w:tcPr>
          <w:p>
            <w:pPr>
              <w:spacing w:after="0"/>
              <w:rPr>
                <w:sz w:val="1"/>
                <w:szCs w:val="1"/>
                <w:color w:val="auto"/>
              </w:rPr>
            </w:pPr>
          </w:p>
        </w:tc>
      </w:tr>
      <w:tr>
        <w:trPr>
          <w:trHeight w:val="225"/>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 net of taxes</w:t>
            </w:r>
          </w:p>
        </w:tc>
        <w:tc>
          <w:tcPr>
            <w:tcW w:w="200" w:type="dxa"/>
            <w:vAlign w:val="bottom"/>
          </w:tcPr>
          <w:p>
            <w:pPr>
              <w:spacing w:after="0"/>
              <w:rPr>
                <w:sz w:val="20"/>
                <w:szCs w:val="20"/>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Mistras Group, Inc.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18,297</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28,869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29,998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29,594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29,641</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4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2015</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80" w:type="dxa"/>
            <w:vAlign w:val="bottom"/>
          </w:tcPr>
          <w:p>
            <w:pPr>
              <w:spacing w:after="0"/>
              <w:rPr>
                <w:sz w:val="22"/>
                <w:szCs w:val="22"/>
                <w:color w:val="auto"/>
              </w:rPr>
            </w:pP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November 30, 2015</w:t>
            </w:r>
          </w:p>
        </w:tc>
      </w:tr>
      <w:tr>
        <w:trPr>
          <w:trHeight w:val="161"/>
        </w:trPr>
        <w:tc>
          <w:tcPr>
            <w:tcW w:w="44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18,277</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3,716</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11,046</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6,742</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17,241</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5"/>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comprehensive (loss) income attributable to</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61"/>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Mistras Group, Inc.</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3,719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11,041</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6,749</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17,261</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24765</wp:posOffset>
            </wp:positionV>
            <wp:extent cx="2126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03" w:lineRule="exact"/>
        <w:rPr>
          <w:sz w:val="20"/>
          <w:szCs w:val="20"/>
          <w:color w:val="auto"/>
        </w:rPr>
      </w:pPr>
    </w:p>
    <w:p>
      <w:pPr>
        <w:jc w:val="right"/>
        <w:ind w:right="200"/>
        <w:spacing w:after="0"/>
        <w:tabs>
          <w:tab w:leader="none" w:pos="1160" w:val="left"/>
        </w:tabs>
        <w:rPr>
          <w:sz w:val="20"/>
          <w:szCs w:val="20"/>
          <w:color w:val="auto"/>
        </w:rPr>
      </w:pPr>
      <w:r>
        <w:rPr>
          <w:rFonts w:ascii="Times New Roman" w:cs="Times New Roman" w:eastAsia="Times New Roman" w:hAnsi="Times New Roman"/>
          <w:sz w:val="14"/>
          <w:szCs w:val="14"/>
          <w:b w:val="1"/>
          <w:bCs w:val="1"/>
          <w:color w:val="auto"/>
        </w:rPr>
        <w:t>November 30, 2016</w:t>
      </w:r>
      <w:r>
        <w:rPr>
          <w:sz w:val="20"/>
          <w:szCs w:val="20"/>
          <w:color w:val="auto"/>
        </w:rPr>
        <w:tab/>
      </w:r>
      <w:r>
        <w:rPr>
          <w:rFonts w:ascii="Times New Roman" w:cs="Times New Roman" w:eastAsia="Times New Roman" w:hAnsi="Times New Roman"/>
          <w:sz w:val="14"/>
          <w:szCs w:val="14"/>
          <w:b w:val="1"/>
          <w:bCs w:val="1"/>
          <w:color w:val="auto"/>
        </w:rPr>
        <w:t>November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083425"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3425" cy="197485"/>
                    </a:xfrm>
                    <a:prstGeom prst="rect">
                      <a:avLst/>
                    </a:prstGeom>
                    <a:noFill/>
                  </pic:spPr>
                </pic:pic>
              </a:graphicData>
            </a:graphic>
          </wp:anchor>
        </w:drawing>
      </w:r>
    </w:p>
    <w:p>
      <w:pPr>
        <w:sectPr>
          <w:pgSz w:w="11900" w:h="16838" w:orient="portrait"/>
          <w:cols w:equalWidth="0" w:num="1">
            <w:col w:w="11120"/>
          </w:cols>
          <w:pgMar w:left="240" w:top="118" w:right="539" w:bottom="792" w:gutter="0" w:footer="0" w:header="0"/>
        </w:sectPr>
      </w:pP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8342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w:t>
      </w:r>
    </w:p>
    <w:p>
      <w:pPr>
        <w:spacing w:after="0" w:line="63" w:lineRule="exact"/>
        <w:rPr>
          <w:sz w:val="20"/>
          <w:szCs w:val="20"/>
          <w:color w:val="auto"/>
        </w:rPr>
      </w:pPr>
    </w:p>
    <w:p>
      <w:pPr>
        <w:ind w:left="180" w:right="1300" w:hanging="134"/>
        <w:spacing w:after="0" w:line="313" w:lineRule="auto"/>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08342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63" w:lineRule="exact"/>
        <w:rPr>
          <w:sz w:val="20"/>
          <w:szCs w:val="20"/>
          <w:color w:val="auto"/>
        </w:rPr>
      </w:pPr>
    </w:p>
    <w:p>
      <w:pPr>
        <w:ind w:left="180" w:right="2880"/>
        <w:spacing w:after="0" w:line="313" w:lineRule="auto"/>
        <w:rPr>
          <w:sz w:val="20"/>
          <w:szCs w:val="20"/>
          <w:color w:val="auto"/>
        </w:rPr>
      </w:pPr>
      <w:r>
        <w:rPr>
          <w:rFonts w:ascii="Times New Roman" w:cs="Times New Roman" w:eastAsia="Times New Roman" w:hAnsi="Times New Roman"/>
          <w:sz w:val="18"/>
          <w:szCs w:val="18"/>
          <w:color w:val="auto"/>
        </w:rPr>
        <w:t>Fair value changes in contingent consideration liabilities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08342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taxes payable</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834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sale of equipment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834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Repayment of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borrowings of long-term debt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revolver</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Repayments of revolver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 for acquisitions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Purchases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share-based awards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834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834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3425" cy="18034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End of period</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834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Noncash investing and financing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40" w:hanging="939"/>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13,905</w:t>
      </w:r>
    </w:p>
    <w:p>
      <w:pPr>
        <w:spacing w:after="0" w:line="333"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15,897</w:t>
      </w:r>
    </w:p>
    <w:p>
      <w:pPr>
        <w:spacing w:after="0" w:line="6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2,045</w:t>
      </w:r>
    </w:p>
    <w:p>
      <w:pPr>
        <w:spacing w:after="0" w:line="6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3,313</w:t>
      </w:r>
    </w:p>
    <w:p>
      <w:pPr>
        <w:spacing w:after="0" w:line="63"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w:t>
      </w:r>
    </w:p>
    <w:p>
      <w:pPr>
        <w:spacing w:after="0" w:line="63"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(1,744)</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(5,508)</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742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(4,333)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(2,455)</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2,581</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9950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25,969</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(6,846)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(8,174)</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9950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(15,042)</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(3,808)</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196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(11,056)</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44,900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(25,600)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(796)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(7,000)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(2,323)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558</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9950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(4,344)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9950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5,073</w:t>
      </w:r>
    </w:p>
    <w:p>
      <w:pPr>
        <w:spacing w:after="0" w:line="3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21,188</w:t>
      </w:r>
    </w:p>
    <w:p>
      <w:pPr>
        <w:spacing w:after="0" w:line="77" w:lineRule="exact"/>
        <w:rPr>
          <w:sz w:val="20"/>
          <w:szCs w:val="20"/>
          <w:color w:val="auto"/>
        </w:rPr>
      </w:pPr>
    </w:p>
    <w:p>
      <w:pPr>
        <w:ind w:left="940" w:hanging="939"/>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9950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13" w:lineRule="exact"/>
        <w:rPr>
          <w:sz w:val="20"/>
          <w:szCs w:val="20"/>
          <w:color w:val="auto"/>
        </w:rPr>
      </w:pPr>
    </w:p>
    <w:p>
      <w:pPr>
        <w:ind w:left="1020" w:hanging="1019"/>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1,849</w:t>
      </w:r>
    </w:p>
    <w:p>
      <w:pPr>
        <w:spacing w:after="0" w:line="63" w:lineRule="exact"/>
        <w:rPr>
          <w:rFonts w:ascii="Times New Roman" w:cs="Times New Roman" w:eastAsia="Times New Roman" w:hAnsi="Times New Roman"/>
          <w:sz w:val="18"/>
          <w:szCs w:val="18"/>
          <w:color w:val="auto"/>
        </w:rPr>
      </w:pPr>
    </w:p>
    <w:p>
      <w:pPr>
        <w:ind w:left="1020" w:hanging="1019"/>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44" w:hanging="1044"/>
        <w:spacing w:after="0"/>
        <w:tabs>
          <w:tab w:leader="none" w:pos="10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18,277</w:t>
      </w:r>
    </w:p>
    <w:p>
      <w:pPr>
        <w:spacing w:after="0" w:line="333" w:lineRule="exact"/>
        <w:rPr>
          <w:rFonts w:ascii="Times New Roman" w:cs="Times New Roman" w:eastAsia="Times New Roman" w:hAnsi="Times New Roman"/>
          <w:sz w:val="18"/>
          <w:szCs w:val="18"/>
          <w:color w:val="auto"/>
        </w:rPr>
      </w:pPr>
    </w:p>
    <w:p>
      <w:pPr>
        <w:ind w:left="10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15,923</w:t>
      </w:r>
    </w:p>
    <w:p>
      <w:pPr>
        <w:spacing w:after="0" w:line="63" w:lineRule="exact"/>
        <w:rPr>
          <w:rFonts w:ascii="Times New Roman" w:cs="Times New Roman" w:eastAsia="Times New Roman" w:hAnsi="Times New Roman"/>
          <w:sz w:val="18"/>
          <w:szCs w:val="18"/>
          <w:color w:val="auto"/>
        </w:rPr>
      </w:pPr>
    </w:p>
    <w:p>
      <w:pPr>
        <w:ind w:left="11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1,809</w:t>
      </w:r>
    </w:p>
    <w:p>
      <w:pPr>
        <w:spacing w:after="0" w:line="63" w:lineRule="exact"/>
        <w:rPr>
          <w:rFonts w:ascii="Times New Roman" w:cs="Times New Roman" w:eastAsia="Times New Roman" w:hAnsi="Times New Roman"/>
          <w:sz w:val="18"/>
          <w:szCs w:val="18"/>
          <w:color w:val="auto"/>
        </w:rPr>
      </w:pPr>
    </w:p>
    <w:p>
      <w:pPr>
        <w:ind w:left="11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3,227</w:t>
      </w:r>
    </w:p>
    <w:p>
      <w:pPr>
        <w:spacing w:after="0" w:line="63" w:lineRule="exact"/>
        <w:rPr>
          <w:rFonts w:ascii="Times New Roman" w:cs="Times New Roman" w:eastAsia="Times New Roman" w:hAnsi="Times New Roman"/>
          <w:sz w:val="18"/>
          <w:szCs w:val="18"/>
          <w:color w:val="auto"/>
        </w:rPr>
      </w:pPr>
    </w:p>
    <w:p>
      <w:pPr>
        <w:ind w:left="10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(1,068)</w:t>
      </w:r>
    </w:p>
    <w:p>
      <w:pPr>
        <w:spacing w:after="0" w:line="74" w:lineRule="exact"/>
        <w:rPr>
          <w:rFonts w:ascii="Times New Roman" w:cs="Times New Roman" w:eastAsia="Times New Roman" w:hAnsi="Times New Roman"/>
          <w:sz w:val="18"/>
          <w:szCs w:val="18"/>
          <w:color w:val="auto"/>
        </w:rPr>
      </w:pPr>
    </w:p>
    <w:p>
      <w:pPr>
        <w:ind w:left="12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(17,641)</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1,496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(790)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(1,248)</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5,226</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0636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26,524</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(7,753)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(1,709)</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0636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(9,623)</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(3,681)</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1,968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(15,870)</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39,200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(36,800)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(394)</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(951)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0636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(16,644)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0636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24</w:t>
      </w:r>
    </w:p>
    <w:p>
      <w:pPr>
        <w:spacing w:after="0" w:line="333" w:lineRule="exact"/>
        <w:rPr>
          <w:sz w:val="20"/>
          <w:szCs w:val="20"/>
          <w:color w:val="auto"/>
        </w:rPr>
      </w:pPr>
    </w:p>
    <w:p>
      <w:pPr>
        <w:ind w:left="1044"/>
        <w:spacing w:after="0"/>
        <w:rPr>
          <w:sz w:val="20"/>
          <w:szCs w:val="20"/>
          <w:color w:val="auto"/>
        </w:rPr>
      </w:pPr>
      <w:r>
        <w:rPr>
          <w:rFonts w:ascii="Times New Roman" w:cs="Times New Roman" w:eastAsia="Times New Roman" w:hAnsi="Times New Roman"/>
          <w:sz w:val="18"/>
          <w:szCs w:val="18"/>
          <w:color w:val="auto"/>
        </w:rPr>
        <w:t>10,555</w:t>
      </w:r>
    </w:p>
    <w:p>
      <w:pPr>
        <w:spacing w:after="0" w:line="77" w:lineRule="exact"/>
        <w:rPr>
          <w:sz w:val="20"/>
          <w:szCs w:val="20"/>
          <w:color w:val="auto"/>
        </w:rPr>
      </w:pPr>
    </w:p>
    <w:p>
      <w:pPr>
        <w:ind w:left="1044" w:hanging="1044"/>
        <w:spacing w:after="0"/>
        <w:tabs>
          <w:tab w:leader="none" w:pos="10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0636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13" w:lineRule="exact"/>
        <w:rPr>
          <w:sz w:val="20"/>
          <w:szCs w:val="20"/>
          <w:color w:val="auto"/>
        </w:rPr>
      </w:pPr>
    </w:p>
    <w:p>
      <w:pPr>
        <w:ind w:left="1144" w:hanging="1144"/>
        <w:spacing w:after="0"/>
        <w:tabs>
          <w:tab w:leader="none" w:pos="11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3,010</w:t>
      </w:r>
    </w:p>
    <w:p>
      <w:pPr>
        <w:spacing w:after="0" w:line="63" w:lineRule="exact"/>
        <w:rPr>
          <w:sz w:val="20"/>
          <w:szCs w:val="20"/>
          <w:color w:val="auto"/>
        </w:rPr>
      </w:pPr>
    </w:p>
    <w:p>
      <w:pPr>
        <w:ind w:left="1144" w:hanging="1144"/>
        <w:spacing w:after="0"/>
        <w:tabs>
          <w:tab w:leader="none" w:pos="11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6,223</w:t>
      </w:r>
    </w:p>
    <w:p>
      <w:pPr>
        <w:spacing w:after="0" w:line="333" w:lineRule="exact"/>
        <w:rPr>
          <w:sz w:val="20"/>
          <w:szCs w:val="20"/>
          <w:color w:val="auto"/>
        </w:rPr>
      </w:pPr>
    </w:p>
    <w:p>
      <w:pPr>
        <w:sectPr>
          <w:pgSz w:w="11900" w:h="16838" w:orient="portrait"/>
          <w:cols w:equalWidth="0" w:num="3">
            <w:col w:w="7120" w:space="720"/>
            <w:col w:w="1500" w:space="176"/>
            <w:col w:w="1604"/>
          </w:cols>
          <w:pgMar w:left="240" w:top="118" w:right="539" w:bottom="792" w:gutter="0" w:footer="0" w:header="0"/>
          <w:type w:val="continuous"/>
        </w:sectPr>
      </w:pPr>
    </w:p>
    <w:tbl>
      <w:tblPr>
        <w:tblLayout w:type="fixed"/>
        <w:tblInd w:w="18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Equipment acquired through capital lease obligations</w:t>
            </w:r>
          </w:p>
        </w:tc>
        <w:tc>
          <w:tcPr>
            <w:tcW w:w="24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notes payable for acquisitions</w:t>
            </w:r>
          </w:p>
        </w:tc>
        <w:tc>
          <w:tcPr>
            <w:tcW w:w="24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08342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br w:type="column"/>
      </w:r>
    </w:p>
    <w:p>
      <w:pPr>
        <w:ind w:left="1144" w:hanging="1144"/>
        <w:spacing w:after="0"/>
        <w:tabs>
          <w:tab w:leader="none" w:pos="114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1,555</w:t>
      </w:r>
    </w:p>
    <w:p>
      <w:pPr>
        <w:spacing w:after="0" w:line="74" w:lineRule="exact"/>
        <w:rPr>
          <w:rFonts w:ascii="Times New Roman" w:cs="Times New Roman" w:eastAsia="Times New Roman" w:hAnsi="Times New Roman"/>
          <w:sz w:val="17"/>
          <w:szCs w:val="17"/>
          <w:color w:val="auto"/>
        </w:rPr>
      </w:pPr>
    </w:p>
    <w:p>
      <w:pPr>
        <w:ind w:left="1364" w:hanging="1364"/>
        <w:spacing w:after="0"/>
        <w:tabs>
          <w:tab w:leader="none" w:pos="13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443" w:lineRule="exact"/>
        <w:rPr>
          <w:sz w:val="20"/>
          <w:szCs w:val="20"/>
          <w:color w:val="auto"/>
        </w:rPr>
      </w:pPr>
    </w:p>
    <w:p>
      <w:pPr>
        <w:sectPr>
          <w:pgSz w:w="11900" w:h="16838" w:orient="portrait"/>
          <w:cols w:equalWidth="0" w:num="2">
            <w:col w:w="9280" w:space="236"/>
            <w:col w:w="1604"/>
          </w:cols>
          <w:pgMar w:left="240" w:top="118" w:right="539" w:bottom="792" w:gutter="0" w:footer="0" w:header="0"/>
          <w:type w:val="continuous"/>
        </w:sectPr>
      </w:pPr>
    </w:p>
    <w:p>
      <w:pPr>
        <w:spacing w:after="0" w:line="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240" w:top="118" w:right="539" w:bottom="792" w:gutter="0" w:footer="0" w:header="0"/>
          <w:type w:val="continuous"/>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80" w:hanging="672"/>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fossil and nuclear power, alternative and renewable energy, public infrastructure, chemicals, commercial aerospace and defense, transportation, primary metals and metalworking, pharmaceutical/biotechnology and food processing industries and research and engineering institutions.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May 31, 2017 and 2016. Reference to a fiscal year means the fiscal year ended May 31, which has historically been the end of the Company's fiscal year. See Note 15 regarding a change in the Company’s fiscal year. For purposes of this report, references to fiscal 2017 and 2016 shall mean to our historical fiscal year periods, without adjusting for the change in the fiscal year.</w:t>
      </w:r>
    </w:p>
    <w:p>
      <w:pPr>
        <w:spacing w:after="0" w:line="40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Annual Report on Form 10-K (“2016 Annual Report”) for fiscal 2016, as filed with the Securities and Exchange Commission on August 15,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condensed consolidated balance sheets. The noncontrolling interests in net income, net of tax, is classified separately in the accompanying condensed consolidated statements of income.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significant intercompany accounts and transactions have been eliminated in consolidation. Mistras Group, Inc.’s and its subsidiaries’ fiscal years end on May 31 except for the subsidiaries in the International segment, which end on April 30. Accordingly, the Company’s International segment subsidiaries are consolidated on a one month lag. Therefore, in the quarter and year of acquisition, results of acquired subsidiaries in the International segment are generally included in consolidated results for one less month than the actual number of months from the acquisition date to the end of the reporting period. Management does not believe that any events occurred during the one-month lag period that would have a material effect on the Company’s condensed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One customer accounted for approximately 13% of our revenues and 12% of accounts receivable for the six months ended November 30, 2016 and as of November 30, 2016, respectively, which primarily were generated from the Services segment. No customer accounted for 10% or more of our revenues or accounts receivable for the six months ended November 30,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disclosed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Company's 2016 Annual Report. On an ongoing basis, the Company evaluates its estimates and assumptions, including, among other things those related to revenue recognition, valuations of accounts receivable, long-lived assets, goodwill, deferred tax assets and uncertain tax positions. Since the date of the 2016 Annual Report, there have been no material changes to the Company's significant accounting policies.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which requires an entity to recognize the amount of revenue to which it expects to be entitled for the transfer of promised goods or services to customers. This ASU will replace most existing revenue recognition guidance in U.S. GAAP when it becomes effective. The new standard is effective for fiscal years and interim periods within those fiscal years beginning after December 15, 2017, as a result of a one year deferral in the standard issued by the FASB in August 2015 with ASU 2015-14, </w:t>
      </w:r>
      <w:r>
        <w:rPr>
          <w:rFonts w:ascii="Times New Roman" w:cs="Times New Roman" w:eastAsia="Times New Roman" w:hAnsi="Times New Roman"/>
          <w:sz w:val="18"/>
          <w:szCs w:val="18"/>
          <w:i w:val="1"/>
          <w:iCs w:val="1"/>
          <w:color w:val="auto"/>
        </w:rPr>
        <w:t>Revenue from Contracts with Customers - Deferral of the Effective Date.</w:t>
      </w:r>
      <w:r>
        <w:rPr>
          <w:rFonts w:ascii="Times New Roman" w:cs="Times New Roman" w:eastAsia="Times New Roman" w:hAnsi="Times New Roman"/>
          <w:sz w:val="18"/>
          <w:szCs w:val="18"/>
          <w:color w:val="auto"/>
        </w:rPr>
        <w:t xml:space="preserve"> Early application is not permitted. The standard permits the use of either the retrospective or cumulative effect transition method. The Company is evaluating the effect that ASU 2014-09 will have on its condensed consolidated financial statements and related disclosures.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2015, the FASB issued ASU No. 2015-16, </w:t>
      </w:r>
      <w:r>
        <w:rPr>
          <w:rFonts w:ascii="Times New Roman" w:cs="Times New Roman" w:eastAsia="Times New Roman" w:hAnsi="Times New Roman"/>
          <w:sz w:val="18"/>
          <w:szCs w:val="18"/>
          <w:i w:val="1"/>
          <w:iCs w:val="1"/>
          <w:color w:val="auto"/>
        </w:rPr>
        <w:t>Business Combinations (Topic 805): Simplifying the Accounting for Measurement-Period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Adjustments. </w:t>
      </w:r>
      <w:r>
        <w:rPr>
          <w:rFonts w:ascii="Times New Roman" w:cs="Times New Roman" w:eastAsia="Times New Roman" w:hAnsi="Times New Roman"/>
          <w:sz w:val="18"/>
          <w:szCs w:val="18"/>
          <w:color w:val="auto"/>
        </w:rPr>
        <w:t>This amendment will simplify the accounting for adjustments made to provisional amounts recognized in a business combination and eliminates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requirement to retrospectively account for those adjustments in previous reporting periods. This update will require on the face of the income statement or in the notes to the financial statements the amount recorded in current-period earnings that would have previously been recorded if the adjustment to the provisional amounts had been recognized as of the acquisition date. ASU 2015-16 is effective for fiscal years, and interim periods within those fiscal years beginning after December 15, 2015. The Company adopted this guidance during the first quarter ended August 31, 2016. There was not a material impact on its condensed consolidated financial statements and related disclosures.</w:t>
      </w:r>
    </w:p>
    <w:p>
      <w:pPr>
        <w:spacing w:after="0" w:line="183"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Income Taxes (Topic 740): Balance Sheet Classification of Deferred Taxes.</w:t>
      </w:r>
      <w:r>
        <w:rPr>
          <w:rFonts w:ascii="Times New Roman" w:cs="Times New Roman" w:eastAsia="Times New Roman" w:hAnsi="Times New Roman"/>
          <w:sz w:val="18"/>
          <w:szCs w:val="18"/>
          <w:color w:val="auto"/>
        </w:rPr>
        <w:t xml:space="preserve"> This amendment will simplify the presentation of deferred tax assets and liabilities on the balance sheet and require all deferred tax assets and liabilities to be treated as non-current. ASU 2015-17 is effective for fiscal years, and interim periods within those fiscal years beginning after December 15, 2016, with early adoption permitted. The Company does not expect that ASU 2015-17 will have a material impact on its condensed consolidated financial statements and related disclosures.</w:t>
      </w:r>
    </w:p>
    <w:p>
      <w:pPr>
        <w:spacing w:after="0" w:line="180"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This amendment supersedes previous accounting guidance (</w:t>
      </w:r>
      <w:r>
        <w:rPr>
          <w:rFonts w:ascii="Times New Roman" w:cs="Times New Roman" w:eastAsia="Times New Roman" w:hAnsi="Times New Roman"/>
          <w:sz w:val="18"/>
          <w:szCs w:val="18"/>
          <w:i w:val="1"/>
          <w:iCs w:val="1"/>
          <w:color w:val="auto"/>
        </w:rPr>
        <w:t>Topic 840)</w:t>
      </w:r>
      <w:r>
        <w:rPr>
          <w:rFonts w:ascii="Times New Roman" w:cs="Times New Roman" w:eastAsia="Times New Roman" w:hAnsi="Times New Roman"/>
          <w:sz w:val="18"/>
          <w:szCs w:val="18"/>
          <w:color w:val="auto"/>
        </w:rPr>
        <w:t xml:space="preserve"> and requires all leases, with exception of leases with a term of 12 months or less, to be recorded on the balance sheet as lease assets and lease liabilities. ASU 2016-02 is effective for fiscal years, and interim periods within those fiscal years beginning after December 15, 2018, with early adoption permitted. The standard requires lessees and lessors to recognize and measure leases at the beginning of the earliest period presented using a modified retrospective approach. The Company is evaluating the effect that ASU 2016-02 will have on its condensed consolidated financial statements and related disclosures.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Stock Compensation (Topic 718).</w:t>
      </w:r>
      <w:r>
        <w:rPr>
          <w:rFonts w:ascii="Times New Roman" w:cs="Times New Roman" w:eastAsia="Times New Roman" w:hAnsi="Times New Roman"/>
          <w:sz w:val="18"/>
          <w:szCs w:val="18"/>
          <w:color w:val="auto"/>
        </w:rPr>
        <w:t xml:space="preserve"> This amendment will simplify certain aspects of accounting for share-based payment transactions, which include accounting for income taxes and the related impact on the statement of cash flows, an option to account for forfeitures when they occur in addition to the existing guidance to estimate the forfeitures of awards, classification of awards as either equity or liabilities and classification on the statement of cash flows for employee taxes paid to tax authorities on shares withheld for vesting. ASU 2016-09 is effective for fiscal years, and interim periods within those fiscal years beginning after December 15, 2016, with early adoption permitted. Upon adoption of this standard, excess tax benefits and tax deficiencies will be recognized as income tax expense, and the tax effects of exercised or vested awards will be treated as discrete items in the period in which they occur.</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w:t>
      </w:r>
      <w:r>
        <w:rPr>
          <w:rFonts w:ascii="Times New Roman" w:cs="Times New Roman" w:eastAsia="Times New Roman" w:hAnsi="Times New Roman"/>
          <w:sz w:val="18"/>
          <w:szCs w:val="18"/>
          <w:color w:val="auto"/>
        </w:rPr>
        <w:t xml:space="preserve"> This amendment will provide guidance on the presentation and classification of specific cash flow items to improve consistency within the statement of cash flows. ASU 2016-15 is effective for fiscal years, and interim periods within those fiscal years beginning after December 15, 2017, with early adoption permitted. The Company is evaluating the impact that ASU 2016-15 will have on its condensed consolidated financial statements and related disclosures.</w:t>
      </w:r>
    </w:p>
    <w:p>
      <w:pPr>
        <w:spacing w:after="0" w:line="18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w:t>
      </w:r>
      <w:r>
        <w:rPr>
          <w:rFonts w:ascii="Times New Roman" w:cs="Times New Roman" w:eastAsia="Times New Roman" w:hAnsi="Times New Roman"/>
          <w:sz w:val="18"/>
          <w:szCs w:val="18"/>
          <w:color w:val="auto"/>
        </w:rPr>
        <w:t xml:space="preserve"> This amendment will clarify the presentation of restricted cash on the statement of cash flows. Amounts generally described as restricted cash and restricted cash equivalents should be included with cash and cash equivalents when reconciling the beginning and ending cash balances on the statement of cash flows. ASU 2016-18 is effective for fiscal years, and interim periods within those fiscal years beginning after December 15, 2017, with early adoption permitted. The Company does not expect that ASU 2016-18 will have a material impact on its condensed consolidated financial statements and related disclosures.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80" w:hanging="672"/>
        <w:spacing w:after="0"/>
        <w:tabs>
          <w:tab w:leader="none" w:pos="6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share-based incentive awards outstanding to its eligible employees and Directors under three equity incentive plans: (i) the 2007 Stock Option Plan (the 2007 Plan), (ii) the 2009 Long-Term Incentive Plan (the 2009 Plan) and (iii) the 2016 Long-Term Incentive Plan (the 2016 Plan). No further awards may be granted under the 2007 or 2009 Plans, although awards granted under the 2007 and 2009 Plans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November 30, 2016, the Company did not recognize any share-based compensation expense related to stock option awards. No unrecognized compensation costs remained related to stock option awards as of November 30, 2016.</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November 30, 2015, the Company recognized share-based compensation expense related to stock option awards of less than $0.1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stock options were granted during the six months ended November 30, 2016 and November 30,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weighted average exercise prices and options outstanding as of November 30, 2016 and 2015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November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6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2,232</w:t>
            </w:r>
          </w:p>
        </w:tc>
        <w:tc>
          <w:tcPr>
            <w:tcW w:w="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2,287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 or forfeited</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2,170</w:t>
            </w:r>
          </w:p>
        </w:tc>
        <w:tc>
          <w:tcPr>
            <w:tcW w:w="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2,265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For both the three months ended November 30, 2016 and November 30, 2015, the Company recognized share-based compensation expense related to restricted stock unit awards of $1.1 million. For both the six months ended November 30, 2016 and November 30, 2015, the Company recognized share-based compensation expense related to restricted stock unit awards of $2.2 million. As of November 30, 2016, there was $9.8 million of unrecognized compensation costs, net of estimated forfeitures, related to restricted stock unit awards, which are expected to be recognized over a remaining weighted average period of 2.8 years.</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six months ended November 30, 2016 and 2015, the Company granted approximately 10,000 and 15,000 shares, respectively, of fully-vested common stock to its five non-employee directors, in connection with its non-employee director compensation plan. These shares had grant date fair values of $0.3 million and $0.2 million, respectively, which was recorded as share-based compensation expense during the six months ended November 30, 2016 and November 30, 2015, respectively.</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the six months ended November 30, 2016 and 2015, approximately 207,000 and 217,000 restricted stock units, respectively, vested. The fair value of these units was $5.1 million and $3.4 million, respectively. Upon vesting, restricted stock units are generally net share-settled to cover the required minimum withholding tax and the remaining amount is converted into an equivalent number of shares of common stock.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restricted stock units is presented below:</w:t>
      </w:r>
    </w:p>
    <w:p>
      <w:pPr>
        <w:spacing w:after="0" w:line="38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For the six months ended 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24765</wp:posOffset>
            </wp:positionV>
            <wp:extent cx="39789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8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53"/>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18.85</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24.48</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43"/>
        </w:trPr>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Released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19.40</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19.42</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8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570</w:t>
            </w:r>
          </w:p>
        </w:tc>
        <w:tc>
          <w:tcPr>
            <w:tcW w:w="40" w:type="dxa"/>
            <w:vAlign w:val="bottom"/>
            <w:tcBorders>
              <w:top w:val="single" w:sz="8" w:color="auto"/>
              <w:bottom w:val="single" w:sz="8" w:color="auto"/>
            </w:tcBorders>
          </w:tcPr>
          <w:p>
            <w:pPr>
              <w:spacing w:after="0"/>
              <w:rPr>
                <w:sz w:val="22"/>
                <w:szCs w:val="22"/>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20.81</w:t>
            </w:r>
          </w:p>
        </w:tc>
        <w:tc>
          <w:tcPr>
            <w:tcW w:w="220" w:type="dxa"/>
            <w:vAlign w:val="bottom"/>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602</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whose ultimate payout is based on the Company’s performance over a one-year period based on three metrics, as defined: (1) Operating Income, (2) Adjusted EBITDAS and (3) Revenue. There is a discretionary portion of the PRSUs based on individual performance, at the discretion of the Compensation Committee (Discretionary PRSUs). PRSUs and Discretionary PRSUs generally vest ratably on each of the first four anniversary dates upon completion of the performance period, for a total requisite service period of five years and have no dividend rights.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PRSUs are equity-classified and compensation costs are initially measured using the fair value of the underlying stock at the date of grant, assuming that the target performance conditions will be achieved. Compensation costs related to the PRSUs are subsequently adjusted for changes in the expected outcomes of the performance conditions.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classified as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Performance Restricted Stock Unit activity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240665</wp:posOffset>
            </wp:positionV>
            <wp:extent cx="29502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40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For the six months ended November 30, 2016</w:t>
            </w:r>
          </w:p>
        </w:tc>
        <w:tc>
          <w:tcPr>
            <w:tcW w:w="640" w:type="dxa"/>
            <w:vAlign w:val="bottom"/>
            <w:tcBorders>
              <w:bottom w:val="single" w:sz="8" w:color="auto"/>
            </w:tcBorders>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tcPr>
          <w:p>
            <w:pPr>
              <w:jc w:val="center"/>
              <w:ind w:left="75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tcPr>
          <w:p>
            <w:pPr>
              <w:jc w:val="center"/>
              <w:ind w:left="7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56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60" w:type="dxa"/>
            <w:vAlign w:val="bottom"/>
          </w:tcPr>
          <w:p>
            <w:pPr>
              <w:spacing w:after="0"/>
              <w:rPr>
                <w:sz w:val="12"/>
                <w:szCs w:val="12"/>
                <w:color w:val="auto"/>
              </w:rPr>
            </w:pPr>
          </w:p>
        </w:tc>
        <w:tc>
          <w:tcPr>
            <w:tcW w:w="1780" w:type="dxa"/>
            <w:vAlign w:val="bottom"/>
          </w:tcPr>
          <w:p>
            <w:pPr>
              <w:jc w:val="center"/>
              <w:ind w:left="73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6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780" w:type="dxa"/>
            <w:vAlign w:val="bottom"/>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1780" w:type="dxa"/>
            <w:vAlign w:val="bottom"/>
            <w:tcBorders>
              <w:bottom w:val="single" w:sz="8" w:color="CCEEFF"/>
            </w:tcBorders>
            <w:shd w:val="clear" w:color="auto" w:fill="CCEEFF"/>
          </w:tcPr>
          <w:p>
            <w:pPr>
              <w:jc w:val="right"/>
              <w:ind w:right="137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17.02</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780" w:type="dxa"/>
            <w:vAlign w:val="bottom"/>
          </w:tcPr>
          <w:p>
            <w:pPr>
              <w:jc w:val="right"/>
              <w:ind w:right="137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Performance condition adjustments, net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780" w:type="dxa"/>
            <w:vAlign w:val="bottom"/>
            <w:tcBorders>
              <w:bottom w:val="single" w:sz="8" w:color="CCEEFF"/>
            </w:tcBorders>
            <w:shd w:val="clear" w:color="auto" w:fill="CCEEFF"/>
          </w:tcPr>
          <w:p>
            <w:pPr>
              <w:jc w:val="right"/>
              <w:ind w:right="137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24.06</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Released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780" w:type="dxa"/>
            <w:vAlign w:val="bottom"/>
          </w:tcPr>
          <w:p>
            <w:pPr>
              <w:jc w:val="right"/>
              <w:ind w:right="137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377"/>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bottom w:val="single" w:sz="8" w:color="CCEEFF"/>
            </w:tcBorders>
            <w:gridSpan w:val="2"/>
            <w:shd w:val="clear" w:color="auto" w:fill="CCEEFF"/>
          </w:tcPr>
          <w:p>
            <w:pPr>
              <w:jc w:val="right"/>
              <w:ind w:right="2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5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1780" w:type="dxa"/>
            <w:vAlign w:val="bottom"/>
            <w:tcBorders>
              <w:bottom w:val="single" w:sz="8" w:color="CCEEFF"/>
            </w:tcBorders>
          </w:tcPr>
          <w:p>
            <w:pPr>
              <w:jc w:val="right"/>
              <w:ind w:right="137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17.22</w:t>
            </w:r>
          </w:p>
        </w:tc>
        <w:tc>
          <w:tcPr>
            <w:tcW w:w="2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three months ended August 31, 2016, the Compensation Committee approved an additional 19,000 units pertaining to the 2016 Discretionary PRSUs. There was a 26,000 unit reduction to the fiscal 2017 awards during the three months ended November 30, 2016.</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November 30, 2016, the aggregate liability related to 21,000 outstanding Discretionary PRSUs was less than $0.1 million, and is classified within accrued expenses and other liabilities on the condensed consolidated balance sheet.</w:t>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For the three months ended November 30, 2016 and November 30, 2015, the Company recognized aggregate share-based compensation expense related to the awards described above of approximately $0.3 million and $0.2 million, respectively. For the six months ended November 30, 2016 and November 30, 2015, the Company recognized aggregate share-based compensation expense related to the awards described above of approximately $0.9 million and $0.8 million, respectively. At November 30, 2016, there was $4.7 million of total unrecognized compensation costs related to 337,000 non-vested performance restricted stock units, which are expected to be recognized over a remaining weighted average period of 3.9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0" w:hanging="672"/>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7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200" w:firstLine="8"/>
        <w:spacing w:after="0" w:line="255"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per share: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4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20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2015</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80" w:type="dxa"/>
            <w:vAlign w:val="bottom"/>
          </w:tcPr>
          <w:p>
            <w:pPr>
              <w:spacing w:after="0"/>
              <w:rPr>
                <w:sz w:val="22"/>
                <w:szCs w:val="22"/>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November 30, 2015</w:t>
            </w:r>
          </w:p>
        </w:tc>
      </w:tr>
      <w:tr>
        <w:trPr>
          <w:trHeight w:val="161"/>
        </w:trPr>
        <w:tc>
          <w:tcPr>
            <w:tcW w:w="44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18,297</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29,056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28,869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29,016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28,796</w:t>
            </w:r>
          </w:p>
        </w:tc>
      </w:tr>
      <w:tr>
        <w:trPr>
          <w:trHeight w:val="297"/>
        </w:trPr>
        <w:tc>
          <w:tcPr>
            <w:tcW w:w="4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0.64</w:t>
            </w:r>
          </w:p>
        </w:tc>
      </w:tr>
      <w:tr>
        <w:trPr>
          <w:trHeight w:val="284"/>
        </w:trPr>
        <w:tc>
          <w:tcPr>
            <w:tcW w:w="4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13,866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18,297</w:t>
            </w:r>
          </w:p>
        </w:tc>
      </w:tr>
      <w:tr>
        <w:trPr>
          <w:trHeight w:val="27"/>
        </w:trPr>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29,056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28,869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28,796</w:t>
            </w:r>
          </w:p>
        </w:tc>
      </w:tr>
      <w:tr>
        <w:trPr>
          <w:trHeight w:val="27"/>
        </w:trPr>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stock options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610</w:t>
            </w: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restricted stock units outstanding</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4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4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29,998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30,139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29,641</w:t>
            </w:r>
          </w:p>
        </w:tc>
      </w:tr>
      <w:tr>
        <w:trPr>
          <w:trHeight w:val="25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0.62</w:t>
            </w: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354" w:lineRule="exact"/>
        <w:rPr>
          <w:sz w:val="20"/>
          <w:szCs w:val="20"/>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7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six months ended November 30, 2016, the Company completed three acquisitions. The Company purchased three companies, two that provide NDT services, located in Canada and one that provides mechanical services, located in the U.S.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the Canadian acquisitions, the Company acquired 100% of the common stock of both acquirees in exchange for aggregate consideration of $1.2 million in cash, $0.3 million of notes payable and contingent consideration estimated to be $0.4 million to be earned based upon the acquired businesses achieving specific performance metrics over their initial three years of operations from their acquisition dates. For the U.S. acquisition, the Company acquired assets of the acquiree in exchange for aggregate consideration of $7.0 million in cash, $0.2 million of notes payable and contingent consideration estimated to be $1.2 million to be earned based upon the acquired businesses achieving specific performance metrics over the initial three years of operations from its acquisition date. The Company accounted for these three transactions in accordance with the acquisition method of accounting for business combinations.</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assets and liabilities of the businesses acquired in fiscal 2017 were included in the Company's condensed consolidated balance sheet based upon their estimated fair values on the date of acquisition as determined in a preliminary purchase price allocation, using available information and making assumptions management believes are reasonable. The Company is still in the process of completing its valuation of the assets, both tangible and intangible, and liabilities acquired. The results of operations for these acquisitions are included in the Services segment's results from the date of acquisition. The Company's preliminary purchase price allocations are included in the table below, summarizing the estimated fair value of the assets acquired and liabilities assumed at the date of acquisition:</w:t>
      </w:r>
    </w:p>
    <w:p>
      <w:pPr>
        <w:spacing w:after="0" w:line="200" w:lineRule="exact"/>
        <w:rPr>
          <w:sz w:val="20"/>
          <w:szCs w:val="20"/>
          <w:color w:val="auto"/>
        </w:rPr>
      </w:pPr>
    </w:p>
    <w:p>
      <w:pPr>
        <w:spacing w:after="0" w:line="211" w:lineRule="exact"/>
        <w:rPr>
          <w:sz w:val="20"/>
          <w:szCs w:val="20"/>
          <w:color w:val="auto"/>
        </w:rPr>
      </w:pPr>
    </w:p>
    <w:tbl>
      <w:tblPr>
        <w:tblLayout w:type="fixed"/>
        <w:tblInd w:w="336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Fiscal</w:t>
            </w:r>
          </w:p>
        </w:tc>
      </w:tr>
      <w:tr>
        <w:trPr>
          <w:trHeight w:val="253"/>
        </w:trPr>
        <w:tc>
          <w:tcPr>
            <w:tcW w:w="2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40" w:type="dxa"/>
            <w:vAlign w:val="bottom"/>
          </w:tcPr>
          <w:p>
            <w:pPr>
              <w:jc w:val="right"/>
              <w:ind w:right="871"/>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2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Entities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8,196</w:t>
            </w:r>
          </w:p>
        </w:tc>
      </w:tr>
      <w:tr>
        <w:trPr>
          <w:trHeight w:val="24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54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481</w:t>
            </w:r>
          </w:p>
        </w:tc>
      </w:tr>
      <w:tr>
        <w:trPr>
          <w:trHeight w:val="27"/>
        </w:trPr>
        <w:tc>
          <w:tcPr>
            <w:tcW w:w="2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1,630</w:t>
            </w:r>
          </w:p>
        </w:tc>
      </w:tr>
      <w:tr>
        <w:trPr>
          <w:trHeight w:val="237"/>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10,307</w:t>
            </w:r>
          </w:p>
        </w:tc>
      </w:tr>
      <w:tr>
        <w:trPr>
          <w:trHeight w:val="67"/>
        </w:trPr>
        <w:tc>
          <w:tcPr>
            <w:tcW w:w="244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r>
      <w:tr>
        <w:trPr>
          <w:trHeight w:val="305"/>
        </w:trPr>
        <w:tc>
          <w:tcPr>
            <w:tcW w:w="24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4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1,781</w:t>
            </w:r>
          </w:p>
        </w:tc>
      </w:tr>
      <w:tr>
        <w:trPr>
          <w:trHeight w:val="27"/>
        </w:trPr>
        <w:tc>
          <w:tcPr>
            <w:tcW w:w="2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953</w:t>
            </w:r>
          </w:p>
        </w:tc>
      </w:tr>
      <w:tr>
        <w:trPr>
          <w:trHeight w:val="24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net deferred tax asset</w:t>
            </w:r>
          </w:p>
        </w:tc>
        <w:tc>
          <w:tcPr>
            <w:tcW w:w="54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434</w:t>
            </w:r>
          </w:p>
        </w:tc>
      </w:tr>
      <w:tr>
        <w:trPr>
          <w:trHeight w:val="27"/>
        </w:trPr>
        <w:tc>
          <w:tcPr>
            <w:tcW w:w="2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3,367</w:t>
            </w:r>
          </w:p>
        </w:tc>
      </w:tr>
      <w:tr>
        <w:trPr>
          <w:trHeight w:val="24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3,986</w:t>
            </w:r>
          </w:p>
        </w:tc>
      </w:tr>
      <w:tr>
        <w:trPr>
          <w:trHeight w:val="27"/>
        </w:trPr>
        <w:tc>
          <w:tcPr>
            <w:tcW w:w="2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57"/>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10,307</w:t>
            </w:r>
          </w:p>
        </w:tc>
      </w:tr>
      <w:tr>
        <w:trPr>
          <w:trHeight w:val="20"/>
        </w:trPr>
        <w:tc>
          <w:tcPr>
            <w:tcW w:w="2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Revenues and operating income included in the condensed consolidated statement of operations for fiscal 2017 from these acquisitions for the period subsequent to the closing of these transactions were approximately $1.7 million and less than $0.1 million, respectively. As these acquisitions were immaterial on an individual basis and in the aggregate, no unaudited pro forma financial information has been included in this report.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completed one acquisition in the first six months of fiscal 2016. The Company purchased a company that provides unmanned aerial systems and NDT services, located in the U.S. In this acquisition, the Company acquired 100% of the common stock of the acquiree in exchange for consideration of $1.8 million in cash and contingent consideration estimated to be $0.9 million to be earned based upon the acquired business achieving specific performance metrics over the initial four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years of operations from the acquisition date. The Company accounted for this transaction in accordance with the acquisition method of accounting for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Expense</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November 30, 2016 and 2015, the Company incurred acquisition-related costs of $0.2 million and less than $0.1 million, respectively, in connection with due diligence, professional fees, and other expenses for its acquisition activities. Additionally, the Company adjusted the fair value of certain previously recorded acquisition-related contingent consideration liabilities. These adjustments resulted in a net (increase) decrease of acquisition-related contingent consideration liabilities and a corresponding (decrease) increase in income from operations of less than $(0.1) million and $0.2 million, for the three months ended November 30, 2016 and 2015, respectively and $(0.4) million and $1.1 million for the six months ended November 30, 2016 and 2015, respectively. The Company’s aggregate acquisition-related contingent consideration liabilities were $3.2 million and $2.1 million as of November 30, 2016 and May 31, 2016, respectively.</w:t>
      </w:r>
    </w:p>
    <w:p>
      <w:pPr>
        <w:spacing w:after="0" w:line="200" w:lineRule="exact"/>
        <w:rPr>
          <w:sz w:val="20"/>
          <w:szCs w:val="20"/>
          <w:color w:val="auto"/>
        </w:rPr>
      </w:pPr>
    </w:p>
    <w:p>
      <w:pPr>
        <w:spacing w:after="0" w:line="20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Fair value adjustments to acquisition-related contingent consideration liabilities and acquisition-related transaction costs have been classified as acquisition-related expense, net, in the condensed consolidated statements of income for the three and six month periods ended November 30, 2016 and November 30, 2015.</w:t>
      </w:r>
    </w:p>
    <w:p>
      <w:pPr>
        <w:spacing w:after="0" w:line="388" w:lineRule="exact"/>
        <w:rPr>
          <w:sz w:val="20"/>
          <w:szCs w:val="20"/>
          <w:color w:val="auto"/>
        </w:rPr>
      </w:pPr>
    </w:p>
    <w:p>
      <w:pPr>
        <w:ind w:left="680" w:hanging="672"/>
        <w:spacing w:after="0"/>
        <w:tabs>
          <w:tab w:leader="none" w:pos="6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143,876</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140,820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6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3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141,367</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137,913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14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60" w:type="dxa"/>
            <w:vAlign w:val="bottom"/>
            <w:vMerge w:val="continue"/>
          </w:tcPr>
          <w:p>
            <w:pPr>
              <w:spacing w:after="0"/>
              <w:rPr>
                <w:sz w:val="24"/>
                <w:szCs w:val="24"/>
                <w:color w:val="auto"/>
              </w:rPr>
            </w:pPr>
          </w:p>
        </w:tc>
        <w:tc>
          <w:tcPr>
            <w:tcW w:w="514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2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360" w:type="dxa"/>
            <w:vAlign w:val="bottom"/>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00" w:type="dxa"/>
            <w:vAlign w:val="bottom"/>
          </w:tcPr>
          <w:p>
            <w:pPr>
              <w:spacing w:after="0"/>
              <w:rPr>
                <w:sz w:val="24"/>
                <w:szCs w:val="24"/>
                <w:color w:val="auto"/>
              </w:rPr>
            </w:pPr>
          </w:p>
        </w:tc>
        <w:tc>
          <w:tcPr>
            <w:tcW w:w="1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0" w:type="dxa"/>
            <w:vAlign w:val="bottom"/>
          </w:tcPr>
          <w:p>
            <w:pPr>
              <w:spacing w:after="0"/>
              <w:rPr>
                <w:sz w:val="1"/>
                <w:szCs w:val="1"/>
                <w:color w:val="auto"/>
              </w:rPr>
            </w:pPr>
          </w:p>
        </w:tc>
      </w:tr>
      <w:tr>
        <w:trPr>
          <w:trHeight w:val="195"/>
        </w:trPr>
        <w:tc>
          <w:tcPr>
            <w:tcW w:w="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360" w:type="dxa"/>
            <w:vAlign w:val="bottom"/>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0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360" w:type="dxa"/>
            <w:vAlign w:val="bottom"/>
          </w:tcPr>
          <w:p>
            <w:pPr>
              <w:jc w:val="center"/>
              <w:ind w:left="577"/>
              <w:spacing w:after="0"/>
              <w:rPr>
                <w:sz w:val="20"/>
                <w:szCs w:val="20"/>
                <w:color w:val="auto"/>
              </w:rPr>
            </w:pPr>
            <w:r>
              <w:rPr>
                <w:rFonts w:ascii="Times New Roman" w:cs="Times New Roman" w:eastAsia="Times New Roman" w:hAnsi="Times New Roman"/>
                <w:sz w:val="18"/>
                <w:szCs w:val="18"/>
                <w:color w:val="auto"/>
                <w:w w:val="99"/>
              </w:rPr>
              <w:t>30-40</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19,050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360" w:type="dxa"/>
            <w:vAlign w:val="bottom"/>
            <w:tcBorders>
              <w:bottom w:val="single" w:sz="8" w:color="CCEEFF"/>
            </w:tcBorders>
            <w:shd w:val="clear" w:color="auto" w:fill="CCEEFF"/>
          </w:tcPr>
          <w:p>
            <w:pPr>
              <w:jc w:val="center"/>
              <w:ind w:left="557"/>
              <w:spacing w:after="0"/>
              <w:rPr>
                <w:sz w:val="20"/>
                <w:szCs w:val="20"/>
                <w:color w:val="auto"/>
              </w:rPr>
            </w:pPr>
            <w:r>
              <w:rPr>
                <w:rFonts w:ascii="Times New Roman" w:cs="Times New Roman" w:eastAsia="Times New Roman" w:hAnsi="Times New Roman"/>
                <w:sz w:val="18"/>
                <w:szCs w:val="18"/>
                <w:color w:val="auto"/>
                <w:w w:val="99"/>
              </w:rPr>
              <w:t>5-8</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8,971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360" w:type="dxa"/>
            <w:vAlign w:val="bottom"/>
          </w:tcPr>
          <w:p>
            <w:pPr>
              <w:jc w:val="center"/>
              <w:ind w:left="557"/>
              <w:spacing w:after="0"/>
              <w:rPr>
                <w:sz w:val="20"/>
                <w:szCs w:val="20"/>
                <w:color w:val="auto"/>
              </w:rPr>
            </w:pPr>
            <w:r>
              <w:rPr>
                <w:rFonts w:ascii="Times New Roman" w:cs="Times New Roman" w:eastAsia="Times New Roman" w:hAnsi="Times New Roman"/>
                <w:sz w:val="18"/>
                <w:szCs w:val="18"/>
                <w:color w:val="auto"/>
                <w:w w:val="99"/>
              </w:rPr>
              <w:t>5-7</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174,119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203,863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202,844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(124,168)</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3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74,580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78,676</w:t>
            </w:r>
          </w:p>
        </w:tc>
        <w:tc>
          <w:tcPr>
            <w:tcW w:w="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November 30, 2016 and November 30, 2015 was $5.7 million and $5.5 million, respectively. Depreciation expense for the six months ended November 30, 2016 and November 30, 2015 was $11.6 million and $11.1 million, respectively.</w:t>
      </w:r>
    </w:p>
    <w:p>
      <w:pPr>
        <w:spacing w:after="0" w:line="158"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is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May 31, 2015</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117,279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35,938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166,414</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acquired (disposed) during the year</w:t>
            </w:r>
          </w:p>
        </w:tc>
        <w:tc>
          <w:tcPr>
            <w:tcW w:w="3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2,354</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preliminary purchase price allocations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270</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w:t>
            </w:r>
          </w:p>
        </w:tc>
      </w:tr>
      <w:tr>
        <w:trPr>
          <w:trHeight w:val="27"/>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May 31, 2016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119,683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36,340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169,220</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3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3,986</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preliminary purchase price allocations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7"/>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November 30, 2016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123,281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34,582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171,060</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March 1 of each year and whenever events or changes in circumstances indicate the carrying value of goodwill may not be recoverable. As of November 30, 2016, the Company did not identify any changes in circumstances that would indicate the carrying value of goodwill may not be recoverable.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cumulative goodwill impairment for each of the periods ended November 30, 2016, May 31, 2016 and May 31, 2015 was $9.9 million, which is within its International segment.</w:t>
      </w:r>
    </w:p>
    <w:p>
      <w:pPr>
        <w:spacing w:after="0" w:line="158" w:lineRule="exact"/>
        <w:rPr>
          <w:sz w:val="20"/>
          <w:szCs w:val="20"/>
          <w:color w:val="auto"/>
        </w:rPr>
      </w:pPr>
    </w:p>
    <w:p>
      <w:pPr>
        <w:ind w:left="680" w:hanging="672"/>
        <w:spacing w:after="0"/>
        <w:tabs>
          <w:tab w:leader="none" w:pos="6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accumulated amortization and net carrying amount of intangible assets were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2"/>
                <w:szCs w:val="12"/>
                <w:color w:val="auto"/>
              </w:rPr>
            </w:pPr>
          </w:p>
        </w:tc>
        <w:tc>
          <w:tcPr>
            <w:tcW w:w="9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2"/>
                <w:szCs w:val="12"/>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64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9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82,463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32,352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81,262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33,515</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Software/Technology</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18,083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17,539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5,684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Covenants not to compete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11,148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8,039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7,827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119,733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42,137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117,419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43,492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months ended November 30, 2016 and November 30, 2015 was $2.2 million and $2.4 million, respectively. Amortization expense for the six months ended November 30, 2016 and November 30, 2015 was $4.3 million and $4.8 million,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354" w:lineRule="exact"/>
        <w:rPr>
          <w:sz w:val="20"/>
          <w:szCs w:val="20"/>
          <w:color w:val="auto"/>
        </w:rPr>
      </w:pPr>
    </w:p>
    <w:p>
      <w:pPr>
        <w:ind w:left="680" w:hanging="672"/>
        <w:spacing w:after="0"/>
        <w:tabs>
          <w:tab w:leader="none" w:pos="6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31,566</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4,834</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3,332</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Legal settlement accrual</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15,902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64,257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62,983</w:t>
            </w:r>
          </w:p>
        </w:tc>
        <w:tc>
          <w:tcPr>
            <w:tcW w:w="0" w:type="dxa"/>
            <w:vAlign w:val="bottom"/>
          </w:tcPr>
          <w:p>
            <w:pPr>
              <w:spacing w:after="0"/>
              <w:rPr>
                <w:sz w:val="1"/>
                <w:szCs w:val="1"/>
                <w:color w:val="auto"/>
              </w:rPr>
            </w:pPr>
          </w:p>
        </w:tc>
      </w:tr>
      <w:tr>
        <w:trPr>
          <w:trHeight w:val="20"/>
        </w:trPr>
        <w:tc>
          <w:tcPr>
            <w:tcW w:w="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3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 w:type="dxa"/>
            <w:vAlign w:val="bottom"/>
            <w:vMerge w:val="continue"/>
          </w:tcPr>
          <w:p>
            <w:pPr>
              <w:spacing w:after="0"/>
              <w:rPr>
                <w:sz w:val="24"/>
                <w:szCs w:val="24"/>
                <w:color w:val="auto"/>
              </w:rPr>
            </w:pPr>
          </w:p>
        </w:tc>
        <w:tc>
          <w:tcPr>
            <w:tcW w:w="7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0" w:type="dxa"/>
            <w:vAlign w:val="bottom"/>
          </w:tcPr>
          <w:p>
            <w:pPr>
              <w:spacing w:after="0"/>
              <w:rPr>
                <w:sz w:val="1"/>
                <w:szCs w:val="1"/>
                <w:color w:val="auto"/>
              </w:rPr>
            </w:pPr>
          </w:p>
        </w:tc>
      </w:tr>
      <w:tr>
        <w:trPr>
          <w:trHeight w:val="174"/>
        </w:trPr>
        <w:tc>
          <w:tcPr>
            <w:tcW w:w="56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credit facility</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68,999</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10,111</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37"/>
        </w:trPr>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85,009</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0" w:type="dxa"/>
            <w:vAlign w:val="bottom"/>
          </w:tcPr>
          <w:p>
            <w:pPr>
              <w:spacing w:after="0"/>
              <w:rPr>
                <w:sz w:val="1"/>
                <w:szCs w:val="1"/>
                <w:color w:val="auto"/>
              </w:rPr>
            </w:pPr>
          </w:p>
        </w:tc>
      </w:tr>
      <w:tr>
        <w:trPr>
          <w:trHeight w:val="257"/>
        </w:trPr>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91,332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72,456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October 31, 2014, the Company entered into a Third Amendment and Modification Agreement of its revolving line of credit, the Third Amended and Restated Credit Agreement (“Credit Agreement”), dated December 21, 2011, with its lending group. The Credit Agreement provides the Company with a $175.0 million revolving line of credit, which, under certain circumstances, the line of credit can be increased to $225.0 million. The Company may borrow up to $30.0 million in non-U.S. Dollar currencies and use up to $10.0 million of the credit limit for the issuance of letters of credit. The Credit Agreement has a maturity date of October 30, 2019. As of November 30, 2016, the Company had borrowings of $88.0 million and a total of $5.7 million of letters of credit outstanding under the Credit Agreement.</w:t>
      </w:r>
    </w:p>
    <w:p>
      <w:pPr>
        <w:spacing w:after="0" w:line="188"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Loans under the Credit Agreement bear interest at LIBOR plus an applicable LIBOR margin ranging from 1% to 1.75%, or a base rate less a margin of 1.25% to 0.375%, at the option of the Company, based upon the Company’s Funded Debt Leverage Ratio. Funded Debt Leverage Ratio is generally the ratio of</w:t>
      </w:r>
    </w:p>
    <w:p>
      <w:pPr>
        <w:spacing w:after="0" w:line="1" w:lineRule="exact"/>
        <w:rPr>
          <w:sz w:val="20"/>
          <w:szCs w:val="20"/>
          <w:color w:val="auto"/>
        </w:rPr>
      </w:pPr>
    </w:p>
    <w:p>
      <w:pPr>
        <w:ind w:right="120" w:firstLine="8"/>
        <w:spacing w:after="0" w:line="250"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2.0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w:t>
      </w:r>
    </w:p>
    <w:p>
      <w:pPr>
        <w:spacing w:after="0" w:line="1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Credit Agreement contains financial covenants requiring that the Company maintain a Funded Debt Leverage Ratio of no greater than 3.25 to 1 and an Interest Coverage Ratio of at least 3.0 to 1. Interest Coverage Ratio means the ratio, as of any date</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November 30, 2016, the Company was in compliance with the terms of the Credit Agreement, and will continuously monitor its compliance with the covenants contained in its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and Other</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certain of its acquisitions, the Company issued subordinated notes payable to the sellers. The maturity of the notes that remain outstanding are three years from the date of acquisition and bear interest at the prime rate for Bank of Canada, currently 2.7% as of November 30, 2016. Interest expense is recorded in the condensed consolidated statements of income.</w:t>
      </w:r>
    </w:p>
    <w:p>
      <w:pPr>
        <w:spacing w:after="0" w:line="176" w:lineRule="exact"/>
        <w:rPr>
          <w:sz w:val="20"/>
          <w:szCs w:val="20"/>
          <w:color w:val="auto"/>
        </w:rPr>
      </w:pPr>
    </w:p>
    <w:p>
      <w:pPr>
        <w:jc w:val="both"/>
        <w:ind w:right="820"/>
        <w:spacing w:after="0" w:line="266"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pacing w:after="0" w:line="172" w:lineRule="exact"/>
        <w:rPr>
          <w:sz w:val="20"/>
          <w:szCs w:val="20"/>
          <w:color w:val="auto"/>
        </w:rPr>
      </w:pPr>
    </w:p>
    <w:p>
      <w:pPr>
        <w:ind w:left="680" w:hanging="672"/>
        <w:spacing w:after="0"/>
        <w:tabs>
          <w:tab w:leader="none" w:pos="6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the Company’s own assumptions about inputs that market participants would use in pricing the asset or liability based on the best information available.</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22"/>
                <w:szCs w:val="22"/>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3,237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3,237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22"/>
                <w:szCs w:val="22"/>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22"/>
                <w:szCs w:val="22"/>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2,075</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2,075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0" w:lineRule="exact"/>
        <w:rPr>
          <w:sz w:val="20"/>
          <w:szCs w:val="20"/>
          <w:color w:val="auto"/>
        </w:rPr>
      </w:pPr>
    </w:p>
    <w:p>
      <w:pPr>
        <w:ind w:left="680" w:hanging="672"/>
        <w:spacing w:after="0"/>
        <w:tabs>
          <w:tab w:leader="none" w:pos="6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7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for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2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The Company is currently a defendant in a consolidated purported class and collective action, </w:t>
      </w:r>
      <w:r>
        <w:rPr>
          <w:rFonts w:ascii="Times New Roman" w:cs="Times New Roman" w:eastAsia="Times New Roman" w:hAnsi="Times New Roman"/>
          <w:sz w:val="18"/>
          <w:szCs w:val="18"/>
          <w:i w:val="1"/>
          <w:iCs w:val="1"/>
          <w:color w:val="auto"/>
        </w:rPr>
        <w:t>Edgar Viceral and David Kruger v Mistras Group, et al</w:t>
      </w:r>
      <w:r>
        <w:rPr>
          <w:rFonts w:ascii="Times New Roman" w:cs="Times New Roman" w:eastAsia="Times New Roman" w:hAnsi="Times New Roman"/>
          <w:sz w:val="18"/>
          <w:szCs w:val="18"/>
          <w:color w:val="auto"/>
        </w:rPr>
        <w:t>, pending in the U.S. District Court for the Northern District of California. This matter results from the consolidation of two cases originally filed in California state court in April 2015. The consolidated case alleges violations of California statutes, primarily the California Labor Code, and seeks to proceed as a collective action under the U.S. Fair Labor Standards Act. The case is predicated on claims for allegedly missed rest and meal periods, inaccurate wage statements, and failure to pay all wages due, as well as related unfair business practices, and is requesting payment of all damages, including unpaid wages, and various fines and penalties available under California and Federal law.</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parties have reached a settlement of the case, whereby the Company agreed to pay $6 million to resolve the allegations and avoid further distraction that would result if the litigation continued. The settlement received preliminary approval by the court in October 2016. The Company recorded a pre-tax charge of $6.3 million in the fourth quarter of fiscal 2016 for the settlement and payment of payroll taxes and other costs related to the settlement. Upon final approval, the settlement will cover claims dating back to April 2011 in some cases and involves approximately 4,900 current and former employees.</w:t>
      </w:r>
    </w:p>
    <w:p>
      <w:pPr>
        <w:spacing w:after="0" w:line="1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Company is a defendant in the lawsuit </w:t>
      </w:r>
      <w:r>
        <w:rPr>
          <w:rFonts w:ascii="Times New Roman" w:cs="Times New Roman" w:eastAsia="Times New Roman" w:hAnsi="Times New Roman"/>
          <w:sz w:val="18"/>
          <w:szCs w:val="18"/>
          <w:i w:val="1"/>
          <w:iCs w:val="1"/>
          <w:color w:val="auto"/>
        </w:rPr>
        <w:t>AGL Services Company v. Mistras Group, Inc</w:t>
      </w:r>
      <w:r>
        <w:rPr>
          <w:rFonts w:ascii="Times New Roman" w:cs="Times New Roman" w:eastAsia="Times New Roman" w:hAnsi="Times New Roman"/>
          <w:sz w:val="18"/>
          <w:szCs w:val="18"/>
          <w:color w:val="auto"/>
        </w:rPr>
        <w:t>., pending in U.S. District Court for the Northern District of Georgia, filed November 2016. The case involves radiography work performed by the Company in fiscal 2013 on the construction of a pipeline project in the U.S. The owner of the pipeline project contends that certain of the radiography images the Company’s technicians prepared regarding the project did not meet the code quality interpretation standards required by the American Petroleum Institute. The project owner is claiming damages as a result of the alleged quality defects of the Company’s radiography images. The complaint alleges damages of approximately $6 million. The Company is currently unable to determine the likely outcome or reasonably estimate the amount or range of potential liability related to this matter, and accordingly, has not established any reserves for this matter.</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subsidiary in France has been involved in a dispute with a former owner of a business in France purchased by the Company’s French subsidiary. The former owner received a judgment in his favor in the amount of approximately $0.4 million for payment of the contingent consideration portion of the purchase price for the business. The judgment is being appealed, but the Company recorded a reserve for the full amount of the judgment in the fourth quarter of fiscal 2016.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356"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18"/>
          <w:szCs w:val="18"/>
          <w:color w:val="auto"/>
        </w:rPr>
        <w:t xml:space="preserve">The Company is a defendant in a lawsuit, </w:t>
      </w:r>
      <w:r>
        <w:rPr>
          <w:rFonts w:ascii="Times New Roman" w:cs="Times New Roman" w:eastAsia="Times New Roman" w:hAnsi="Times New Roman"/>
          <w:sz w:val="18"/>
          <w:szCs w:val="18"/>
          <w:i w:val="1"/>
          <w:iCs w:val="1"/>
          <w:color w:val="auto"/>
        </w:rPr>
        <w:t>Triumph Aerostructures, LLC d/b/a Triumph Aerostructures-Vought Aircraft Division v. Mistras Group, Inc</w:t>
      </w:r>
      <w:r>
        <w:rPr>
          <w:rFonts w:ascii="Times New Roman" w:cs="Times New Roman" w:eastAsia="Times New Roman" w:hAnsi="Times New Roman"/>
          <w:sz w:val="18"/>
          <w:szCs w:val="18"/>
          <w:color w:val="auto"/>
        </w:rPr>
        <w:t>., pending in Texas State district court, 193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Judicial District, Dallas County, Texas, filed September 2016. The plaintiff alleges Mistras delivered, in fiscal 2014, a defective Ultrasonic inspection system and is alleging damages of approximately $2.3 million, the amount it paid for the system. The Company is vigorously defending the case and has not established any reserves for the matter at this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Investigations</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May 2015, the Company received a notice from the U.S. Environmental Protection Agency (“EPA”) that it performed a preliminary assessment at a leased facility the Company operates in Cudahy, California. Based upon the preliminary assessment, the EPA is conducting an investigation of the site, which includes taking groundwater and soil samples. The purpose of the investigation is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At this time, the Company is unable to determine whether it has any liability in connection with this matter and if so, the amount or range of any such liability, and accordingly, has not established any reserves for this matter.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contingencies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is liable for contingent consideration in connection with certain of its acquisitions. As of November 30, 2016, total potential acquisition-related contingent consideration ranged from zero to approximately $15.6 million and would be payable upon the achievement of specific performance metrics by certain of the acquired companies over the next 2.8 years of operations. See Note 4 -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these condensed consolidated financial statements for further information with respect to of the Company’s acquisitions completed in fiscal 2016 and 2017.</w:t>
      </w:r>
    </w:p>
    <w:p>
      <w:pPr>
        <w:spacing w:after="0" w:line="176" w:lineRule="exact"/>
        <w:rPr>
          <w:sz w:val="20"/>
          <w:szCs w:val="20"/>
          <w:color w:val="auto"/>
        </w:rPr>
      </w:pPr>
    </w:p>
    <w:p>
      <w:pPr>
        <w:ind w:left="680" w:hanging="672"/>
        <w:spacing w:after="0"/>
        <w:tabs>
          <w:tab w:leader="none" w:pos="6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Disclosure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are:</w:t>
      </w:r>
    </w:p>
    <w:p>
      <w:pPr>
        <w:spacing w:after="0" w:line="223" w:lineRule="exact"/>
        <w:rPr>
          <w:sz w:val="20"/>
          <w:szCs w:val="20"/>
          <w:color w:val="auto"/>
        </w:rPr>
      </w:pPr>
    </w:p>
    <w:p>
      <w:pPr>
        <w:ind w:left="1140" w:right="260" w:hanging="484"/>
        <w:spacing w:after="0" w:line="267" w:lineRule="auto"/>
        <w:tabs>
          <w:tab w:leader="none" w:pos="897"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This segment provides asset protection solutions primarily in North America with the largest concentration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consisting primarily of non-destructive testing and inspection and engineering services that are used to evaluate the structural integrity and reliability of critical energy, industrial and public infrastructure.</w:t>
      </w:r>
    </w:p>
    <w:p>
      <w:pPr>
        <w:spacing w:after="0" w:line="173" w:lineRule="exact"/>
        <w:rPr>
          <w:rFonts w:ascii="Times New Roman" w:cs="Times New Roman" w:eastAsia="Times New Roman" w:hAnsi="Times New Roman"/>
          <w:sz w:val="18"/>
          <w:szCs w:val="18"/>
          <w:i w:val="1"/>
          <w:iCs w:val="1"/>
          <w:color w:val="auto"/>
        </w:rPr>
      </w:pPr>
    </w:p>
    <w:p>
      <w:pPr>
        <w:ind w:left="1140" w:right="60" w:hanging="484"/>
        <w:spacing w:after="0" w:line="267" w:lineRule="auto"/>
        <w:tabs>
          <w:tab w:leader="none" w:pos="8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Company’s other two segments to global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in Europe, the 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1140" w:right="340" w:hanging="484"/>
        <w:spacing w:after="0" w:line="284" w:lineRule="auto"/>
        <w:tabs>
          <w:tab w:leader="none" w:pos="8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118" w:right="27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(intercompany transactions are eliminated in Corporate and eliminations):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2"/>
        </w:trPr>
        <w:tc>
          <w:tcPr>
            <w:tcW w:w="4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November 30, 2015</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November 30, 2015</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132,418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150,463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259,108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287,868</w:t>
            </w: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42,230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38,425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75,284</w:t>
            </w: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16,477</w:t>
            </w: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176,642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194,786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345,085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374,639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7"/>
        </w:trPr>
        <w:tc>
          <w:tcPr>
            <w:tcW w:w="4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2"/>
        </w:trPr>
        <w:tc>
          <w:tcPr>
            <w:tcW w:w="4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November 30, 2015</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34,184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68,629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77,687</w:t>
            </w: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14,837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27,224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22,886</w:t>
            </w: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7,755</w:t>
            </w: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52,076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56,925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102,132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108,199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5"/>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3"/>
          </w:tcPr>
          <w:p>
            <w:pPr>
              <w:spacing w:after="0" w:line="20" w:lineRule="exact"/>
              <w:rPr>
                <w:sz w:val="1"/>
                <w:szCs w:val="1"/>
                <w:color w:val="auto"/>
              </w:rPr>
            </w:pPr>
          </w:p>
        </w:tc>
      </w:tr>
      <w:tr>
        <w:trPr>
          <w:trHeight w:val="597"/>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2"/>
        </w:trPr>
        <w:tc>
          <w:tcPr>
            <w:tcW w:w="4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November 30, 2015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November 30, 2015</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3"/>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18,815</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34,214</w:t>
            </w: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5,789</w:t>
            </w: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2,239</w:t>
            </w: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w:t>
            </w: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19,569</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23,664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32,501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by operating segment includes intercompany transactions, which are eliminated in Corporate and eliminations.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2"/>
        </w:trPr>
        <w:tc>
          <w:tcPr>
            <w:tcW w:w="4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2015</w:t>
            </w:r>
          </w:p>
        </w:tc>
        <w:tc>
          <w:tcPr>
            <w:tcW w:w="20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80" w:type="dxa"/>
            <w:vAlign w:val="bottom"/>
          </w:tcPr>
          <w:p>
            <w:pPr>
              <w:spacing w:after="0"/>
              <w:rPr>
                <w:sz w:val="22"/>
                <w:szCs w:val="22"/>
                <w:color w:val="auto"/>
              </w:rPr>
            </w:pP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November 30, 2015</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11,084</w:t>
            </w: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3,886</w:t>
            </w:r>
          </w:p>
        </w:tc>
      </w:tr>
      <w:tr>
        <w:trPr>
          <w:trHeight w:val="27"/>
        </w:trPr>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1,140</w:t>
            </w: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7"/>
        </w:trPr>
        <w:tc>
          <w:tcPr>
            <w:tcW w:w="4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15,897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15,923</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260" w:type="dxa"/>
            <w:vAlign w:val="bottom"/>
          </w:tcPr>
          <w:p>
            <w:pPr>
              <w:spacing w:after="0"/>
              <w:rPr>
                <w:sz w:val="16"/>
                <w:szCs w:val="16"/>
                <w:color w:val="auto"/>
              </w:rPr>
            </w:pPr>
          </w:p>
        </w:tc>
        <w:tc>
          <w:tcPr>
            <w:tcW w:w="13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May 31, 2016</w:t>
            </w:r>
          </w:p>
        </w:tc>
      </w:tr>
      <w:tr>
        <w:trPr>
          <w:trHeight w:val="230"/>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19,945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19,022</w:t>
            </w: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17,703</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6,054</w:t>
            </w: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713</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42,137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43,492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811"/>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260" w:type="dxa"/>
            <w:vAlign w:val="bottom"/>
          </w:tcPr>
          <w:p>
            <w:pPr>
              <w:spacing w:after="0"/>
              <w:rPr>
                <w:sz w:val="24"/>
                <w:szCs w:val="24"/>
                <w:color w:val="auto"/>
              </w:rPr>
            </w:pPr>
          </w:p>
        </w:tc>
        <w:tc>
          <w:tcPr>
            <w:tcW w:w="13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May 31, 2016</w:t>
            </w:r>
          </w:p>
        </w:tc>
      </w:tr>
      <w:tr>
        <w:trPr>
          <w:trHeight w:val="230"/>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302,920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301,678</w:t>
            </w: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135,981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132,643</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31,247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31,596</w:t>
            </w: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16,758</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492,166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482,675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area for the three and six months ended November 30, 2016 and 2015, respectively, were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2"/>
        </w:trPr>
        <w:tc>
          <w:tcPr>
            <w:tcW w:w="4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8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30, 2015</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November 30, 2015</w:t>
            </w: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112,719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132,068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228,842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262,411</w:t>
            </w: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1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19,957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23,557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35,006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35,086</w:t>
            </w:r>
          </w:p>
        </w:tc>
      </w:tr>
      <w:tr>
        <w:trPr>
          <w:trHeight w:val="27"/>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37,560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71,054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71,352</w:t>
            </w: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1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5,790</w:t>
            </w:r>
          </w:p>
        </w:tc>
      </w:tr>
      <w:tr>
        <w:trPr>
          <w:trHeight w:val="27"/>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176,642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194,786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345,085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374,639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Repurchase of Common Stock</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On October 7, 2015, the Company's Board of Directors approved a $50 million stock repurchase plan. As part of this plan, on August 17, 2016, the Company entered into an agreement with its CEO, Dr. Sotirios Vahaviolos, to purchase up to 1 million of his shares, commencing in October 2016. Pursuant to the agreement, in general, the Company will purchase from Dr. Vahaviolos up to $2 million of shares each month, at a 2% discount to the average daily price of the Company's common stock for the preceding month. During the quarter ended November 30, 2016, the Company purchased approximately 181,000 shares from Dr. Vahaviolos at an average price of $22.07 per share and an aggregate cost of $4.0 million. In addition, during this same fiscal quarter, the Company repurchased approximately 146,000 shares in the open market at an average price of $20.48 per share and an aggregate cost of approximately $3.0 million. All such repurchased shares are classified as </w:t>
      </w:r>
      <w:r>
        <w:rPr>
          <w:rFonts w:ascii="Times New Roman" w:cs="Times New Roman" w:eastAsia="Times New Roman" w:hAnsi="Times New Roman"/>
          <w:sz w:val="18"/>
          <w:szCs w:val="18"/>
          <w:i w:val="1"/>
          <w:iCs w:val="1"/>
          <w:color w:val="auto"/>
        </w:rPr>
        <w:t>Treasury Stock</w:t>
      </w:r>
      <w:r>
        <w:rPr>
          <w:rFonts w:ascii="Times New Roman" w:cs="Times New Roman" w:eastAsia="Times New Roman" w:hAnsi="Times New Roman"/>
          <w:sz w:val="18"/>
          <w:szCs w:val="18"/>
          <w:color w:val="auto"/>
        </w:rPr>
        <w:t xml:space="preserve"> on the condensed consolidated balance sheet. As of November 30, 2016, approximately $43.0 million remained available to repurchase shares under the stock repurchase plan.</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3, 2017, the Company's Board of Directors approved a change in the Company's fiscal year from May 31 to December 31, effective December 31, 2016. As a result of this change, the Company will file a Transition Report on Form 10-K for the transition period ending December 31, 2016.</w:t>
      </w:r>
    </w:p>
    <w:p>
      <w:pPr>
        <w:spacing w:after="0" w:line="15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(“MD&amp;A”) includes a narrative explanation and analysis of our results of operations and financial condition for the three and six months ended November 30, 2016 and November 30, 2015. The MD&amp;A should be read together with our condensed consolidated financial statements and related notes included in Item 1 in this Quarterly Report on Form 10-Q and our audited consolidated financial statements and related notes included in our Annual Report on Form 10-K for fiscal 2016 filed with the Securities and Exchange Commission ("SEC") on August 15, 2016 (“2016 Annual Report”). Unless otherwise specified or the context otherwise requires, “Mistras,” “the Company,” “we,” “us” and “our” refer to Mistras Group, Inc. and its consolidated subsidiaries. The MD&amp;A includes disclosure in the following areas:</w:t>
      </w:r>
    </w:p>
    <w:p>
      <w:pPr>
        <w:spacing w:after="0" w:line="215" w:lineRule="exact"/>
        <w:rPr>
          <w:sz w:val="20"/>
          <w:szCs w:val="20"/>
          <w:color w:val="auto"/>
        </w:rPr>
      </w:pPr>
    </w:p>
    <w:p>
      <w:pPr>
        <w:ind w:left="720" w:hanging="388"/>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Historically, our fiscal years ended on May 31. On January 3, 2017, the Company's Board of Directors approved a change in the Company's fiscal year from May 31 to December 31, effective December 31, 2016. In this quarterly report, our fiscal years are identified according to the calendar year in which they historically ended (e.g., the fiscal year ended May 31, 2016 is referred to as “fiscal 2016”), and references to "fiscal 2017" mean the period that would have been the fiscal year ending May 31, 2017, if we had not changed our fiscal year to a calendar year on January 3, 2017 (effective December 31, 2016). The Company will report its financial results for the period of June 1, 2016 to December 31, 2016 on a Transition Report on Form 10-K.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2016 Annual Report as well as those discussed in our other filings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offer our customers “one source for asset protection solutions”®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83" w:lineRule="exact"/>
        <w:rPr>
          <w:sz w:val="20"/>
          <w:szCs w:val="20"/>
          <w:color w:val="auto"/>
        </w:rPr>
      </w:pPr>
    </w:p>
    <w:p>
      <w:pPr>
        <w:ind w:left="740" w:right="240" w:hanging="246"/>
        <w:spacing w:after="0" w:line="267" w:lineRule="auto"/>
        <w:tabs>
          <w:tab w:leader="none" w:pos="74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provides asset protection solutions predominantly in North America with the largest concentration in the United States, consisting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NDT, inspection and engineering services that are used to evaluate the structural integrity and reliability of critical energy, industrial and public infrastructure.</w:t>
      </w:r>
    </w:p>
    <w:p>
      <w:pPr>
        <w:spacing w:after="0" w:line="173" w:lineRule="exact"/>
        <w:rPr>
          <w:rFonts w:ascii="Times New Roman" w:cs="Times New Roman" w:eastAsia="Times New Roman" w:hAnsi="Times New Roman"/>
          <w:sz w:val="18"/>
          <w:szCs w:val="18"/>
          <w:i w:val="1"/>
          <w:iCs w:val="1"/>
          <w:color w:val="auto"/>
        </w:rPr>
      </w:pPr>
    </w:p>
    <w:p>
      <w:pPr>
        <w:ind w:left="740" w:right="60" w:hanging="246"/>
        <w:spacing w:after="0" w:line="284" w:lineRule="auto"/>
        <w:tabs>
          <w:tab w:leader="none" w:pos="74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global markets, principally in Europe, the Middle 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Africa, Asia and South America, but not to customers in China and South Korea, which are served by the Products and Systems segment.</w:t>
      </w:r>
    </w:p>
    <w:p>
      <w:pPr>
        <w:spacing w:after="0" w:line="158" w:lineRule="exact"/>
        <w:rPr>
          <w:rFonts w:ascii="Times New Roman" w:cs="Times New Roman" w:eastAsia="Times New Roman" w:hAnsi="Times New Roman"/>
          <w:sz w:val="18"/>
          <w:szCs w:val="18"/>
          <w:i w:val="1"/>
          <w:iCs w:val="1"/>
          <w:color w:val="auto"/>
        </w:rPr>
      </w:pPr>
    </w:p>
    <w:p>
      <w:pPr>
        <w:ind w:left="740" w:right="40" w:hanging="246"/>
        <w:spacing w:after="0" w:line="284" w:lineRule="auto"/>
        <w:tabs>
          <w:tab w:leader="none" w:pos="74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instrumentation, predominantly in the United States.</w:t>
      </w:r>
    </w:p>
    <w:p>
      <w:pPr>
        <w:spacing w:after="0" w:line="160"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Given the role our solutions play in ensuring the safe and efficient operation of infrastructure, we provide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 alternative, renewable, and transmission and distribution), public infrastructure, chemicals, commercial aerospace and defense, transportation, primary metals and metalworking, pharmaceutical/biotechnology and food processing industries and research and engineering institutions. We have established long-term relationships as a critical solutions provider to many of the leading companies in our target markets.</w:t>
      </w:r>
    </w:p>
    <w:p>
      <w:pPr>
        <w:spacing w:after="0" w:line="18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focused on introducing our advanced asset protection solutions to our customers using proprietary, technology-enabled software and testing instruments, including those developed by our Products and Systems segment. We have made a number of acquisitions in an effort to grow our base of experienced, certified personnel, expand our product and technical capabilities, increase our geographical reach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8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Demand for outsourced asset protection solutions has generally increased over the last ten years, creating demand from which our entire industry has benefited. We believe continued growth can be realized in all of our target markets. However, current market conditions are soft, driven by lower oil prices which have driven many of the Company’s customers to curtail spending.</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Global financial markets continue to experience uncertainty, relatively low consumer confidence, slow economic growth, fluctuating oil prices and volatile currency exchange rates. However, we believe these conditions have allowed us to selectively hire new talented individuals that otherwise might not have been available to us, and to make acquisitions of complementary businesses at reasonable valuations.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18" w:right="25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results of operations for the three and six months ended November 30, 2016 and November 30, 2015 were as follows:</w:t>
      </w:r>
    </w:p>
    <w:p>
      <w:pPr>
        <w:spacing w:after="0" w:line="232" w:lineRule="exact"/>
        <w:rPr>
          <w:sz w:val="20"/>
          <w:szCs w:val="20"/>
          <w:color w:val="auto"/>
        </w:rPr>
      </w:pPr>
    </w:p>
    <w:p>
      <w:pPr>
        <w:ind w:left="5480"/>
        <w:spacing w:after="0"/>
        <w:tabs>
          <w:tab w:leader="none" w:pos="9160" w:val="left"/>
        </w:tabs>
        <w:rPr>
          <w:sz w:val="20"/>
          <w:szCs w:val="20"/>
          <w:color w:val="auto"/>
        </w:rPr>
      </w:pPr>
      <w:r>
        <w:rPr>
          <w:rFonts w:ascii="Times New Roman" w:cs="Times New Roman" w:eastAsia="Times New Roman" w:hAnsi="Times New Roman"/>
          <w:sz w:val="14"/>
          <w:szCs w:val="14"/>
          <w:b w:val="1"/>
          <w:bCs w:val="1"/>
          <w:color w:val="auto"/>
        </w:rPr>
        <w:t>Three months ended</w:t>
      </w:r>
      <w:r>
        <w:rPr>
          <w:sz w:val="20"/>
          <w:szCs w:val="20"/>
          <w:color w:val="auto"/>
        </w:rPr>
        <w:tab/>
      </w: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24765</wp:posOffset>
            </wp:positionV>
            <wp:extent cx="45281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2818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123" w:lineRule="exact"/>
        <w:rPr>
          <w:sz w:val="20"/>
          <w:szCs w:val="20"/>
          <w:color w:val="auto"/>
        </w:rPr>
      </w:pPr>
    </w:p>
    <w:p>
      <w:pPr>
        <w:ind w:left="4580"/>
        <w:spacing w:after="0"/>
        <w:tabs>
          <w:tab w:leader="none" w:pos="6420" w:val="left"/>
        </w:tabs>
        <w:rPr>
          <w:sz w:val="20"/>
          <w:szCs w:val="20"/>
          <w:color w:val="auto"/>
        </w:rPr>
      </w:pPr>
      <w:r>
        <w:rPr>
          <w:rFonts w:ascii="Times New Roman" w:cs="Times New Roman" w:eastAsia="Times New Roman" w:hAnsi="Times New Roman"/>
          <w:sz w:val="14"/>
          <w:szCs w:val="14"/>
          <w:b w:val="1"/>
          <w:bCs w:val="1"/>
          <w:color w:val="auto"/>
        </w:rPr>
        <w:t>November 30, 2016</w:t>
      </w:r>
      <w:r>
        <w:rPr>
          <w:sz w:val="20"/>
          <w:szCs w:val="20"/>
          <w:color w:val="auto"/>
        </w:rPr>
        <w:tab/>
      </w:r>
      <w:r>
        <w:rPr>
          <w:rFonts w:ascii="Times New Roman" w:cs="Times New Roman" w:eastAsia="Times New Roman" w:hAnsi="Times New Roman"/>
          <w:sz w:val="14"/>
          <w:szCs w:val="14"/>
          <w:b w:val="1"/>
          <w:bCs w:val="1"/>
          <w:color w:val="auto"/>
        </w:rPr>
        <w:t>November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24765</wp:posOffset>
            </wp:positionV>
            <wp:extent cx="22980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November 30, 2016</w:t>
      </w:r>
      <w:r>
        <w:rPr>
          <w:sz w:val="20"/>
          <w:szCs w:val="20"/>
          <w:color w:val="auto"/>
        </w:rPr>
        <w:tab/>
      </w:r>
      <w:r>
        <w:rPr>
          <w:rFonts w:ascii="Times New Roman" w:cs="Times New Roman" w:eastAsia="Times New Roman" w:hAnsi="Times New Roman"/>
          <w:sz w:val="14"/>
          <w:szCs w:val="14"/>
          <w:b w:val="1"/>
          <w:bCs w:val="1"/>
          <w:color w:val="auto"/>
        </w:rPr>
        <w:t>November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24765</wp:posOffset>
            </wp:positionV>
            <wp:extent cx="21609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49" w:lineRule="exact"/>
        <w:rPr>
          <w:sz w:val="20"/>
          <w:szCs w:val="20"/>
          <w:color w:val="auto"/>
        </w:rPr>
      </w:pPr>
    </w:p>
    <w:p>
      <w:pPr>
        <w:sectPr>
          <w:pgSz w:w="11900" w:h="16838" w:orient="portrait"/>
          <w:cols w:equalWidth="0" w:num="2">
            <w:col w:w="7620" w:space="640"/>
            <w:col w:w="316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176,642</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194,786</w:t>
            </w:r>
          </w:p>
        </w:tc>
        <w:tc>
          <w:tcPr>
            <w:tcW w:w="120" w:type="dxa"/>
            <w:vAlign w:val="bottom"/>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345,085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374,639</w:t>
            </w: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52,076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56,925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102,132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108,199</w:t>
            </w:r>
          </w:p>
        </w:tc>
      </w:tr>
      <w:tr>
        <w:trPr>
          <w:trHeight w:val="27"/>
        </w:trPr>
        <w:tc>
          <w:tcPr>
            <w:tcW w:w="4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39,568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37,356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78,468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75,698</w:t>
            </w:r>
          </w:p>
        </w:tc>
      </w:tr>
      <w:tr>
        <w:trPr>
          <w:trHeight w:val="27"/>
        </w:trPr>
        <w:tc>
          <w:tcPr>
            <w:tcW w:w="4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 as a % of Revenue</w:t>
            </w: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5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12,508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19,569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23,664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32,501</w:t>
            </w:r>
          </w:p>
        </w:tc>
      </w:tr>
      <w:tr>
        <w:trPr>
          <w:trHeight w:val="27"/>
        </w:trPr>
        <w:tc>
          <w:tcPr>
            <w:tcW w:w="4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Income from Operations as a % of Revenue</w:t>
            </w: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3,257</w:t>
            </w:r>
          </w:p>
        </w:tc>
      </w:tr>
      <w:tr>
        <w:trPr>
          <w:trHeight w:val="27"/>
        </w:trPr>
        <w:tc>
          <w:tcPr>
            <w:tcW w:w="42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11,580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18,234</w:t>
            </w:r>
          </w:p>
        </w:tc>
        <w:tc>
          <w:tcPr>
            <w:tcW w:w="12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21,916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29,244</w:t>
            </w: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4,284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6,804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8,011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10,967</w:t>
            </w:r>
          </w:p>
        </w:tc>
      </w:tr>
      <w:tr>
        <w:trPr>
          <w:trHeight w:val="27"/>
        </w:trPr>
        <w:tc>
          <w:tcPr>
            <w:tcW w:w="42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7,296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11,430</w:t>
            </w:r>
          </w:p>
        </w:tc>
        <w:tc>
          <w:tcPr>
            <w:tcW w:w="12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18,277</w:t>
            </w:r>
          </w:p>
        </w:tc>
      </w:tr>
      <w:tr>
        <w:trPr>
          <w:trHeight w:val="225"/>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 net of taxes</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Mistras Group, Inc.</w:t>
            </w: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7,270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11,425</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13,866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18,297</w:t>
            </w:r>
          </w:p>
        </w:tc>
      </w:tr>
      <w:tr>
        <w:trPr>
          <w:trHeight w:val="20"/>
        </w:trPr>
        <w:tc>
          <w:tcPr>
            <w:tcW w:w="4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uses Adjusted EBITDA, a non-GAAP metric, as a measure of its consolidated operating performance and assist in comparing performance from period to period on a consistent basis. A reconciliation of Adjusted EBITDA to net income is provided below for the three and six months ended November 30, 2016 and November 30, 2015:</w:t>
      </w:r>
    </w:p>
    <w:p>
      <w:pPr>
        <w:spacing w:after="0" w:line="399" w:lineRule="exact"/>
        <w:rPr>
          <w:sz w:val="20"/>
          <w:szCs w:val="20"/>
          <w:color w:val="auto"/>
        </w:rPr>
      </w:pPr>
    </w:p>
    <w:p>
      <w:pPr>
        <w:ind w:left="5640"/>
        <w:spacing w:after="0"/>
        <w:tabs>
          <w:tab w:leader="none" w:pos="9160" w:val="left"/>
        </w:tabs>
        <w:rPr>
          <w:sz w:val="20"/>
          <w:szCs w:val="20"/>
          <w:color w:val="auto"/>
        </w:rPr>
      </w:pPr>
      <w:r>
        <w:rPr>
          <w:rFonts w:ascii="Times New Roman" w:cs="Times New Roman" w:eastAsia="Times New Roman" w:hAnsi="Times New Roman"/>
          <w:sz w:val="14"/>
          <w:szCs w:val="14"/>
          <w:b w:val="1"/>
          <w:bCs w:val="1"/>
          <w:color w:val="auto"/>
        </w:rPr>
        <w:t>Three months ended</w:t>
      </w:r>
      <w:r>
        <w:rPr>
          <w:sz w:val="20"/>
          <w:szCs w:val="20"/>
          <w:color w:val="auto"/>
        </w:rPr>
        <w:tab/>
      </w: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24765</wp:posOffset>
            </wp:positionV>
            <wp:extent cx="4339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p>
      <w:pPr>
        <w:spacing w:after="0" w:line="123" w:lineRule="exact"/>
        <w:rPr>
          <w:sz w:val="20"/>
          <w:szCs w:val="20"/>
          <w:color w:val="auto"/>
        </w:rPr>
      </w:pPr>
    </w:p>
    <w:p>
      <w:pPr>
        <w:ind w:left="480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November 30, 2016</w:t>
      </w:r>
      <w:r>
        <w:rPr>
          <w:sz w:val="20"/>
          <w:szCs w:val="20"/>
          <w:color w:val="auto"/>
        </w:rPr>
        <w:tab/>
      </w:r>
      <w:r>
        <w:rPr>
          <w:rFonts w:ascii="Times New Roman" w:cs="Times New Roman" w:eastAsia="Times New Roman" w:hAnsi="Times New Roman"/>
          <w:sz w:val="14"/>
          <w:szCs w:val="14"/>
          <w:b w:val="1"/>
          <w:bCs w:val="1"/>
          <w:color w:val="auto"/>
        </w:rPr>
        <w:t>November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24765</wp:posOffset>
            </wp:positionV>
            <wp:extent cx="2109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8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November 30, 2016</w:t>
      </w:r>
      <w:r>
        <w:rPr>
          <w:sz w:val="20"/>
          <w:szCs w:val="20"/>
          <w:color w:val="auto"/>
        </w:rPr>
        <w:tab/>
      </w:r>
      <w:r>
        <w:rPr>
          <w:rFonts w:ascii="Times New Roman" w:cs="Times New Roman" w:eastAsia="Times New Roman" w:hAnsi="Times New Roman"/>
          <w:sz w:val="14"/>
          <w:szCs w:val="14"/>
          <w:b w:val="1"/>
          <w:bCs w:val="1"/>
          <w:color w:val="auto"/>
        </w:rPr>
        <w:t>November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24765</wp:posOffset>
            </wp:positionV>
            <wp:extent cx="21609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44" w:lineRule="exact"/>
        <w:rPr>
          <w:sz w:val="20"/>
          <w:szCs w:val="20"/>
          <w:color w:val="auto"/>
        </w:rPr>
      </w:pPr>
    </w:p>
    <w:p>
      <w:pPr>
        <w:sectPr>
          <w:pgSz w:w="11900" w:h="16838" w:orient="portrait"/>
          <w:cols w:equalWidth="0" w:num="2">
            <w:col w:w="7700" w:space="520"/>
            <w:col w:w="3200"/>
          </w:cols>
          <w:pgMar w:left="240" w:top="118"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7,270</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11,425</w:t>
            </w:r>
          </w:p>
        </w:tc>
        <w:tc>
          <w:tcPr>
            <w:tcW w:w="12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13,866</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18,297</w:t>
            </w:r>
          </w:p>
        </w:tc>
      </w:tr>
      <w:tr>
        <w:trPr>
          <w:trHeight w:val="27"/>
        </w:trPr>
        <w:tc>
          <w:tcPr>
            <w:tcW w:w="4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1,748</w:t>
            </w:r>
          </w:p>
        </w:tc>
        <w:tc>
          <w:tcPr>
            <w:tcW w:w="6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3,257</w:t>
            </w: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8,011</w:t>
            </w:r>
          </w:p>
        </w:tc>
        <w:tc>
          <w:tcPr>
            <w:tcW w:w="6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10,967</w:t>
            </w:r>
          </w:p>
        </w:tc>
      </w:tr>
      <w:tr>
        <w:trPr>
          <w:trHeight w:val="27"/>
        </w:trPr>
        <w:tc>
          <w:tcPr>
            <w:tcW w:w="4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15,897</w:t>
            </w:r>
          </w:p>
        </w:tc>
        <w:tc>
          <w:tcPr>
            <w:tcW w:w="6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15,923</w:t>
            </w: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3,313</w:t>
            </w:r>
          </w:p>
        </w:tc>
        <w:tc>
          <w:tcPr>
            <w:tcW w:w="6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3,227</w:t>
            </w:r>
          </w:p>
        </w:tc>
      </w:tr>
      <w:tr>
        <w:trPr>
          <w:trHeight w:val="27"/>
        </w:trPr>
        <w:tc>
          <w:tcPr>
            <w:tcW w:w="4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591</w:t>
            </w:r>
          </w:p>
        </w:tc>
        <w:tc>
          <w:tcPr>
            <w:tcW w:w="6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w:t>
            </w:r>
          </w:p>
        </w:tc>
        <w:tc>
          <w:tcPr>
            <w:tcW w:w="5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425</w:t>
            </w:r>
          </w:p>
        </w:tc>
        <w:tc>
          <w:tcPr>
            <w:tcW w:w="6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r>
      <w:tr>
        <w:trPr>
          <w:trHeight w:val="27"/>
        </w:trPr>
        <w:tc>
          <w:tcPr>
            <w:tcW w:w="4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w:t>
            </w:r>
          </w:p>
        </w:tc>
        <w:tc>
          <w:tcPr>
            <w:tcW w:w="6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r>
      <w:tr>
        <w:trPr>
          <w:trHeight w:val="257"/>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21,621</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29,205</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42,807</w:t>
            </w:r>
          </w:p>
        </w:tc>
        <w:tc>
          <w:tcPr>
            <w:tcW w:w="6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51,534</w:t>
            </w:r>
          </w:p>
        </w:tc>
      </w:tr>
      <w:tr>
        <w:trPr>
          <w:trHeight w:val="20"/>
        </w:trPr>
        <w:tc>
          <w:tcPr>
            <w:tcW w:w="4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Adjusted EBITDA is a performance measure used by management that is not calculated in accordance with U.S. generally accepted accounting principles (GAAP). Adjusted EBITDA is defined in this Report as net income attributable to Mistras Group, Inc. plus: interest expense, provision for income taxes, depreciation and amortization, share-based compensation expense, certain acquisition-related costs (including transaction due diligence costs and adjustments to the fair value of contingent consideration), foreign exchange (gain) loss and, if applicable, certain special items which are noted.</w:t>
      </w:r>
    </w:p>
    <w:p>
      <w:pPr>
        <w:spacing w:after="0" w:line="180" w:lineRule="exact"/>
        <w:rPr>
          <w:sz w:val="20"/>
          <w:szCs w:val="20"/>
          <w:color w:val="auto"/>
        </w:rPr>
      </w:pPr>
    </w:p>
    <w:p>
      <w:pPr>
        <w:jc w:val="both"/>
        <w:ind w:right="920"/>
        <w:spacing w:after="0" w:line="266" w:lineRule="auto"/>
        <w:rPr>
          <w:sz w:val="20"/>
          <w:szCs w:val="20"/>
          <w:color w:val="auto"/>
        </w:rPr>
      </w:pPr>
      <w:r>
        <w:rPr>
          <w:rFonts w:ascii="Times New Roman" w:cs="Times New Roman" w:eastAsia="Times New Roman" w:hAnsi="Times New Roman"/>
          <w:sz w:val="18"/>
          <w:szCs w:val="18"/>
          <w:color w:val="auto"/>
        </w:rPr>
        <w:t>Management uses Adjusted EBITDA as a measure for planning and forecasting overall expectations and for evaluating actual results against such expectations. Adjusted EBITDA is also used as the basis for a performance evaluation metric for certain of our executive and employee incentive compensation programs.</w:t>
      </w: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Later in this MD&amp;A under the heading "Income from Operations", the non-GAAP financial performance measure "Income from operations before special items” is used for each of our three segments and the "Total Company", with tables reconciling the measure to a financial measure under GAAP. This non-GAAP measure excludes from the GAAP measure "Income from Operations" (a) transaction expenses related to acquisitions, such as professional fees and due diligence costs, (b) the net changes in the fair value of acquisition-related contingent consideration liabilities and (c) certain non-recurring items. These items have been excluded from the GAAP measure because these expenses and credits are not considered by management to be related to the Company’s or Segment’s core business operations. The acquisition related costs and special items can be a net expense or credit in any given period.</w:t>
      </w:r>
    </w:p>
    <w:p>
      <w:pPr>
        <w:spacing w:after="0" w:line="18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the MD&amp;A section "Liquidity and Capital Resources", we use the term free cash flow, a non-GAAP measurement. We define free cash flow as cash provided by operating activities less capital expenditures (which are purchases of property, plant and equipment and of intangible assets and classified as an investing activity). Free cash flow, which does not represent residual cash flow available for discretionary expenditures since items such as debt repayments are not deducted in determining such measures, was $18.5 million for the first six months of fiscal 2017, consisting of $26.0 million of operating cash flow less $7.4 million of capital expenditures. For the comparable period in fiscal 2016, free cash flow was $18.3 million consisting of $26.5 million of operating cash flow less $8.2 million of capital expenditures.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Revenues for the three months ended November 30, 2016 were $176.6 million, a decrease of $18.1 million, or 9%, compared with the prior year. Revenues for the six months ended November 30, 2016 were $345.1 million, a decrease of $29.6 million, or 8%, compared with the prior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segment for the three months ended November 30, 2016 and November 30, 2015 were as follows:</w:t>
      </w:r>
    </w:p>
    <w:p>
      <w:pPr>
        <w:spacing w:after="0" w:line="200" w:lineRule="exact"/>
        <w:rPr>
          <w:sz w:val="20"/>
          <w:szCs w:val="20"/>
          <w:color w:val="auto"/>
        </w:rPr>
      </w:pPr>
    </w:p>
    <w:p>
      <w:pPr>
        <w:spacing w:after="0" w:line="248" w:lineRule="exact"/>
        <w:rPr>
          <w:sz w:val="20"/>
          <w:szCs w:val="20"/>
          <w:color w:val="auto"/>
        </w:rPr>
      </w:pPr>
    </w:p>
    <w:p>
      <w:pPr>
        <w:ind w:left="5680"/>
        <w:spacing w:after="0"/>
        <w:tabs>
          <w:tab w:leader="none" w:pos="9220" w:val="left"/>
        </w:tabs>
        <w:rPr>
          <w:sz w:val="20"/>
          <w:szCs w:val="20"/>
          <w:color w:val="auto"/>
        </w:rPr>
      </w:pPr>
      <w:r>
        <w:rPr>
          <w:rFonts w:ascii="Times New Roman" w:cs="Times New Roman" w:eastAsia="Times New Roman" w:hAnsi="Times New Roman"/>
          <w:sz w:val="14"/>
          <w:szCs w:val="14"/>
          <w:b w:val="1"/>
          <w:bCs w:val="1"/>
          <w:color w:val="auto"/>
        </w:rPr>
        <w:t>Three months ended</w:t>
      </w:r>
      <w:r>
        <w:rPr>
          <w:sz w:val="20"/>
          <w:szCs w:val="20"/>
          <w:color w:val="auto"/>
        </w:rPr>
        <w:tab/>
      </w: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24765</wp:posOffset>
            </wp:positionV>
            <wp:extent cx="43395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123" w:lineRule="exact"/>
        <w:rPr>
          <w:sz w:val="20"/>
          <w:szCs w:val="20"/>
          <w:color w:val="auto"/>
        </w:rPr>
      </w:pPr>
    </w:p>
    <w:p>
      <w:pPr>
        <w:ind w:left="4860"/>
        <w:spacing w:after="0"/>
        <w:tabs>
          <w:tab w:leader="none" w:pos="6620" w:val="left"/>
        </w:tabs>
        <w:rPr>
          <w:sz w:val="20"/>
          <w:szCs w:val="20"/>
          <w:color w:val="auto"/>
        </w:rPr>
      </w:pPr>
      <w:r>
        <w:rPr>
          <w:rFonts w:ascii="Times New Roman" w:cs="Times New Roman" w:eastAsia="Times New Roman" w:hAnsi="Times New Roman"/>
          <w:sz w:val="14"/>
          <w:szCs w:val="14"/>
          <w:b w:val="1"/>
          <w:bCs w:val="1"/>
          <w:color w:val="auto"/>
        </w:rPr>
        <w:t>November 30, 2016</w:t>
      </w:r>
      <w:r>
        <w:rPr>
          <w:sz w:val="20"/>
          <w:szCs w:val="20"/>
          <w:color w:val="auto"/>
        </w:rPr>
        <w:tab/>
      </w:r>
      <w:r>
        <w:rPr>
          <w:rFonts w:ascii="Times New Roman" w:cs="Times New Roman" w:eastAsia="Times New Roman" w:hAnsi="Times New Roman"/>
          <w:sz w:val="14"/>
          <w:szCs w:val="14"/>
          <w:b w:val="1"/>
          <w:bCs w:val="1"/>
          <w:color w:val="auto"/>
        </w:rPr>
        <w:t>November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24765</wp:posOffset>
            </wp:positionV>
            <wp:extent cx="21780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8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November 30, 2016</w:t>
      </w:r>
      <w:r>
        <w:rPr>
          <w:sz w:val="20"/>
          <w:szCs w:val="20"/>
          <w:color w:val="auto"/>
        </w:rPr>
        <w:tab/>
      </w:r>
      <w:r>
        <w:rPr>
          <w:rFonts w:ascii="Times New Roman" w:cs="Times New Roman" w:eastAsia="Times New Roman" w:hAnsi="Times New Roman"/>
          <w:sz w:val="14"/>
          <w:szCs w:val="14"/>
          <w:b w:val="1"/>
          <w:bCs w:val="1"/>
          <w:color w:val="auto"/>
        </w:rPr>
        <w:t>November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24765</wp:posOffset>
            </wp:positionV>
            <wp:extent cx="2092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44" w:lineRule="exact"/>
        <w:rPr>
          <w:sz w:val="20"/>
          <w:szCs w:val="20"/>
          <w:color w:val="auto"/>
        </w:rPr>
      </w:pPr>
    </w:p>
    <w:p>
      <w:pPr>
        <w:sectPr>
          <w:pgSz w:w="11900" w:h="16838" w:orient="portrait"/>
          <w:cols w:equalWidth="0" w:num="2">
            <w:col w:w="7800" w:space="540"/>
            <w:col w:w="3080"/>
          </w:cols>
          <w:pgMar w:left="240" w:top="118"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132,418</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150,463</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259,108</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287,868</w:t>
            </w:r>
          </w:p>
        </w:tc>
      </w:tr>
      <w:tr>
        <w:trPr>
          <w:trHeight w:val="27"/>
        </w:trPr>
        <w:tc>
          <w:tcPr>
            <w:tcW w:w="4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75,284</w:t>
            </w: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16,477</w:t>
            </w:r>
          </w:p>
        </w:tc>
      </w:tr>
      <w:tr>
        <w:trPr>
          <w:trHeight w:val="27"/>
        </w:trPr>
        <w:tc>
          <w:tcPr>
            <w:tcW w:w="4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37"/>
        </w:trPr>
        <w:tc>
          <w:tcPr>
            <w:tcW w:w="458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176,642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194,786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345,085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374,639</w:t>
            </w:r>
          </w:p>
        </w:tc>
      </w:tr>
      <w:tr>
        <w:trPr>
          <w:trHeight w:val="27"/>
        </w:trPr>
        <w:tc>
          <w:tcPr>
            <w:tcW w:w="45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2017, Services segment revenues decreased 12% due to a low double digit organic decline, offset by a small amount of acquisition growth. Products and Systems segment revenues decreased by 14% driven by lower sales volume. International segment revenues increased by 10%, driven by mid-teens organic growth, offset by a mid-single digit unfavorable impact of foreign exchange rates.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Oil and gas revenues comprised approximately 54% and 53% of total Company revenues in the second quarters of fiscal 2017 and fiscal 2016, respectively. The Company’s top ten customers comprised approximately 37% and 36% of total revenues in the second quarter of fiscal 2017 and fiscal 2016, respectively. One customer, BP plc., accounted for approximately 12% of our total revenues for the second quarter of fiscal 2017. No customer accounted for more than 10% of our revenues in the second quarter of fiscal 2016.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first six months of fiscal 2017, Services segment revenues decreased 10% due to a low double digit organic decline, offset by a small amount of acquisition growth. Products and Systems segment revenues decreased by 22% driven by lower sales volume. International segment revenues increased by 6% due to high single digit organic growth, offset by mid-single digit unfavorable impact of foreign exchange rates.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Oil and gas revenues comprised approximately 55% and 54% of total Company revenues for the first six months of fiscal 2017 and fiscal 2016, respectively. The Company’s top ten customers comprised approximately 37% and 33% of total revenues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first six months of fiscal 2017 and fiscal 2016, respectively. One customer, BP plc., accounted for approximately 13% of our total revenues for the first half of fiscal 2017. No customer accounted for more than 10% of our revenues in the first half of fiscal 2016.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Gross profit decreased by $4.8 million, or 9%, in the second quarter of fiscal 2017, on a sales decline of 9%. Gross profit decreased by $6.1 million, or 6%, in the first six months of fiscal 2017, on a sales decline of 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three and six months ended November 30, 2016 and November 30, 2015 was as follows:</w:t>
      </w:r>
    </w:p>
    <w:p>
      <w:pPr>
        <w:spacing w:after="0" w:line="200" w:lineRule="exact"/>
        <w:rPr>
          <w:sz w:val="20"/>
          <w:szCs w:val="20"/>
          <w:color w:val="auto"/>
        </w:rPr>
      </w:pPr>
    </w:p>
    <w:p>
      <w:pPr>
        <w:spacing w:after="0" w:line="248" w:lineRule="exact"/>
        <w:rPr>
          <w:sz w:val="20"/>
          <w:szCs w:val="20"/>
          <w:color w:val="auto"/>
        </w:rPr>
      </w:pPr>
    </w:p>
    <w:p>
      <w:pPr>
        <w:ind w:left="4520"/>
        <w:spacing w:after="0"/>
        <w:tabs>
          <w:tab w:leader="none" w:pos="8220" w:val="left"/>
        </w:tabs>
        <w:rPr>
          <w:sz w:val="20"/>
          <w:szCs w:val="20"/>
          <w:color w:val="auto"/>
        </w:rPr>
      </w:pPr>
      <w:r>
        <w:rPr>
          <w:rFonts w:ascii="Times New Roman" w:cs="Times New Roman" w:eastAsia="Times New Roman" w:hAnsi="Times New Roman"/>
          <w:sz w:val="14"/>
          <w:szCs w:val="14"/>
          <w:b w:val="1"/>
          <w:bCs w:val="1"/>
          <w:color w:val="auto"/>
        </w:rPr>
        <w:t>Three months ended</w:t>
      </w:r>
      <w:r>
        <w:rPr>
          <w:sz w:val="20"/>
          <w:szCs w:val="20"/>
          <w:color w:val="auto"/>
        </w:rPr>
        <w:tab/>
      </w: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24765</wp:posOffset>
            </wp:positionV>
            <wp:extent cx="45453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p>
      <w:pPr>
        <w:spacing w:after="0" w:line="123" w:lineRule="exact"/>
        <w:rPr>
          <w:sz w:val="20"/>
          <w:szCs w:val="20"/>
          <w:color w:val="auto"/>
        </w:rPr>
      </w:pPr>
    </w:p>
    <w:p>
      <w:pPr>
        <w:ind w:left="3640"/>
        <w:spacing w:after="0"/>
        <w:tabs>
          <w:tab w:leader="none" w:pos="5420" w:val="left"/>
        </w:tabs>
        <w:rPr>
          <w:sz w:val="20"/>
          <w:szCs w:val="20"/>
          <w:color w:val="auto"/>
        </w:rPr>
      </w:pPr>
      <w:r>
        <w:rPr>
          <w:rFonts w:ascii="Times New Roman" w:cs="Times New Roman" w:eastAsia="Times New Roman" w:hAnsi="Times New Roman"/>
          <w:sz w:val="14"/>
          <w:szCs w:val="14"/>
          <w:b w:val="1"/>
          <w:bCs w:val="1"/>
          <w:color w:val="auto"/>
        </w:rPr>
        <w:t>November 30, 2016</w:t>
      </w:r>
      <w:r>
        <w:rPr>
          <w:sz w:val="20"/>
          <w:szCs w:val="20"/>
          <w:color w:val="auto"/>
        </w:rPr>
        <w:tab/>
      </w:r>
      <w:r>
        <w:rPr>
          <w:rFonts w:ascii="Times New Roman" w:cs="Times New Roman" w:eastAsia="Times New Roman" w:hAnsi="Times New Roman"/>
          <w:sz w:val="14"/>
          <w:szCs w:val="14"/>
          <w:b w:val="1"/>
          <w:bCs w:val="1"/>
          <w:color w:val="auto"/>
        </w:rPr>
        <w:t>November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24765</wp:posOffset>
            </wp:positionV>
            <wp:extent cx="22123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8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24765</wp:posOffset>
            </wp:positionV>
            <wp:extent cx="614045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40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b w:val="1"/>
          <w:bCs w:val="1"/>
          <w:color w:val="auto"/>
        </w:rPr>
        <w:t>November 30, 2016</w:t>
      </w:r>
      <w:r>
        <w:rPr>
          <w:sz w:val="20"/>
          <w:szCs w:val="20"/>
          <w:color w:val="auto"/>
        </w:rPr>
        <w:tab/>
      </w:r>
      <w:r>
        <w:rPr>
          <w:rFonts w:ascii="Times New Roman" w:cs="Times New Roman" w:eastAsia="Times New Roman" w:hAnsi="Times New Roman"/>
          <w:sz w:val="14"/>
          <w:szCs w:val="14"/>
          <w:b w:val="1"/>
          <w:bCs w:val="1"/>
          <w:color w:val="auto"/>
        </w:rPr>
        <w:t>November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24765</wp:posOffset>
            </wp:positionV>
            <wp:extent cx="2263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44" w:lineRule="exact"/>
        <w:rPr>
          <w:sz w:val="20"/>
          <w:szCs w:val="20"/>
          <w:color w:val="auto"/>
        </w:rPr>
      </w:pPr>
    </w:p>
    <w:p>
      <w:pPr>
        <w:sectPr>
          <w:pgSz w:w="11900" w:h="16838" w:orient="portrait"/>
          <w:cols w:equalWidth="0" w:num="2">
            <w:col w:w="6620" w:space="660"/>
            <w:col w:w="4120"/>
          </w:cols>
          <w:pgMar w:left="240" w:top="118" w:right="25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67"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34,184</w:t>
            </w:r>
          </w:p>
        </w:tc>
        <w:tc>
          <w:tcPr>
            <w:tcW w:w="12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41,118</w:t>
            </w:r>
          </w:p>
        </w:tc>
        <w:tc>
          <w:tcPr>
            <w:tcW w:w="12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68,629</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77,687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43"/>
        </w:trPr>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w:t>
            </w:r>
          </w:p>
        </w:tc>
        <w:tc>
          <w:tcPr>
            <w:tcW w:w="5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14,837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12,106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27,224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22,886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43"/>
        </w:trPr>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Products and Systems</w:t>
            </w:r>
          </w:p>
        </w:tc>
        <w:tc>
          <w:tcPr>
            <w:tcW w:w="5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3,230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3,833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7,755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43"/>
        </w:trPr>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52,076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56,925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102,132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108,199</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percentage of revenues, gross profit was 29.5% and 29.2% for the second quarters of fiscal 2017 and 2016, respectively. Service segment gross profit margins decreased to 25.8% in the second quarter of fiscal 2017 compared to 27.3% in the second quarter of fiscal 2016. The 150 basis point decrease was primarily driven by lower sales volume and a less favorable sales mix. International segment gross margins increased to 35.1% in the second quarter of fiscal 2017 compared with 31.5% in the prior year. The 360 basis point increase was due to improvement across our largest country locations, driven by double digit organic growth, improvements in technical labor utilization, sales mix and overhead utilization. Products and Systems segment gross margin decreased by 90 basis points to 48.3% compared with 49.2% in the prior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percentage of revenues, gross profit was 29.6% and 28.9% for the first six months of fiscal 2017 and 2016, respectively. Service segment gross profit margins decreased to 26.5% in the first six months of fiscal 2017 compared to 27.0% in the first six months of fiscal 2016. The 50 basis point decrease was primarily driven by lower sales volume and a less favorable sales mix. International segment gross margins increased to 34.1% in the first six months of fiscal 2017 compared with 30.4% in the prior year. The 370 basis point increase was due to improvement across our largest country locations, driven by organic revenue growth, improvements in technical labor utilization, sales mix and overhead utilization. Products and Systems segment gross margin improved by 210 basis points to 49.2% compared with 47.1% in the prior year.</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18" w:right="25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income from operations to income before special items for each of the Company's three operating segments, the Corporate segment and for the Company in total:</w:t>
      </w:r>
    </w:p>
    <w:p>
      <w:pPr>
        <w:spacing w:after="0" w:line="385" w:lineRule="exact"/>
        <w:rPr>
          <w:sz w:val="20"/>
          <w:szCs w:val="20"/>
          <w:color w:val="auto"/>
        </w:rPr>
      </w:pPr>
    </w:p>
    <w:p>
      <w:pPr>
        <w:ind w:left="5100"/>
        <w:spacing w:after="0"/>
        <w:tabs>
          <w:tab w:leader="none" w:pos="8640" w:val="left"/>
        </w:tabs>
        <w:rPr>
          <w:sz w:val="20"/>
          <w:szCs w:val="20"/>
          <w:color w:val="auto"/>
        </w:rPr>
      </w:pPr>
      <w:r>
        <w:rPr>
          <w:rFonts w:ascii="Times New Roman" w:cs="Times New Roman" w:eastAsia="Times New Roman" w:hAnsi="Times New Roman"/>
          <w:sz w:val="14"/>
          <w:szCs w:val="14"/>
          <w:b w:val="1"/>
          <w:bCs w:val="1"/>
          <w:color w:val="auto"/>
        </w:rPr>
        <w:t>Three months ended</w:t>
      </w:r>
      <w:r>
        <w:rPr>
          <w:sz w:val="20"/>
          <w:szCs w:val="20"/>
          <w:color w:val="auto"/>
        </w:rPr>
        <w:tab/>
      </w: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24765</wp:posOffset>
            </wp:positionV>
            <wp:extent cx="43567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p>
      <w:pPr>
        <w:spacing w:after="0" w:line="123" w:lineRule="exact"/>
        <w:rPr>
          <w:sz w:val="20"/>
          <w:szCs w:val="20"/>
          <w:color w:val="auto"/>
        </w:rPr>
      </w:pPr>
    </w:p>
    <w:p>
      <w:pPr>
        <w:ind w:left="4240"/>
        <w:spacing w:after="0"/>
        <w:tabs>
          <w:tab w:leader="none" w:pos="5980" w:val="left"/>
        </w:tabs>
        <w:rPr>
          <w:sz w:val="20"/>
          <w:szCs w:val="20"/>
          <w:color w:val="auto"/>
        </w:rPr>
      </w:pPr>
      <w:r>
        <w:rPr>
          <w:rFonts w:ascii="Times New Roman" w:cs="Times New Roman" w:eastAsia="Times New Roman" w:hAnsi="Times New Roman"/>
          <w:sz w:val="14"/>
          <w:szCs w:val="14"/>
          <w:b w:val="1"/>
          <w:bCs w:val="1"/>
          <w:color w:val="auto"/>
        </w:rPr>
        <w:t>November 30, 2016</w:t>
      </w:r>
      <w:r>
        <w:rPr>
          <w:sz w:val="20"/>
          <w:szCs w:val="20"/>
          <w:color w:val="auto"/>
        </w:rPr>
        <w:tab/>
      </w:r>
      <w:r>
        <w:rPr>
          <w:rFonts w:ascii="Times New Roman" w:cs="Times New Roman" w:eastAsia="Times New Roman" w:hAnsi="Times New Roman"/>
          <w:sz w:val="14"/>
          <w:szCs w:val="14"/>
          <w:b w:val="1"/>
          <w:bCs w:val="1"/>
          <w:color w:val="auto"/>
        </w:rPr>
        <w:t>November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24765</wp:posOffset>
            </wp:positionV>
            <wp:extent cx="21437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8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9037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November 30, 2016</w:t>
      </w:r>
      <w:r>
        <w:rPr>
          <w:sz w:val="20"/>
          <w:szCs w:val="20"/>
          <w:color w:val="auto"/>
        </w:rPr>
        <w:tab/>
      </w:r>
      <w:r>
        <w:rPr>
          <w:rFonts w:ascii="Times New Roman" w:cs="Times New Roman" w:eastAsia="Times New Roman" w:hAnsi="Times New Roman"/>
          <w:sz w:val="14"/>
          <w:szCs w:val="14"/>
          <w:b w:val="1"/>
          <w:bCs w:val="1"/>
          <w:color w:val="auto"/>
        </w:rPr>
        <w:t>November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24765</wp:posOffset>
            </wp:positionV>
            <wp:extent cx="21437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8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44" w:lineRule="exact"/>
        <w:rPr>
          <w:sz w:val="20"/>
          <w:szCs w:val="20"/>
          <w:color w:val="auto"/>
        </w:rPr>
      </w:pPr>
    </w:p>
    <w:p>
      <w:pPr>
        <w:sectPr>
          <w:pgSz w:w="11900" w:h="16838" w:orient="portrait"/>
          <w:cols w:equalWidth="0" w:num="2">
            <w:col w:w="7160" w:space="580"/>
            <w:col w:w="3660"/>
          </w:cols>
          <w:pgMar w:left="240" w:top="118"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12,172</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18,815</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24,641</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34,214</w:t>
            </w:r>
          </w:p>
        </w:tc>
      </w:tr>
      <w:tr>
        <w:trPr>
          <w:trHeight w:val="27"/>
        </w:trPr>
        <w:tc>
          <w:tcPr>
            <w:tcW w:w="4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5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7"/>
        </w:trPr>
        <w:tc>
          <w:tcPr>
            <w:tcW w:w="40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special items</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33,809</w:t>
            </w: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5,789</w:t>
            </w: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5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4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special items</w:t>
            </w:r>
          </w:p>
        </w:tc>
        <w:tc>
          <w:tcPr>
            <w:tcW w:w="5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6,840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11,597</w:t>
            </w: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5,506</w:t>
            </w:r>
          </w:p>
        </w:tc>
      </w:tr>
      <w:tr>
        <w:trPr>
          <w:trHeight w:val="27"/>
        </w:trPr>
        <w:tc>
          <w:tcPr>
            <w:tcW w:w="4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5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2,239</w:t>
            </w:r>
          </w:p>
        </w:tc>
      </w:tr>
      <w:tr>
        <w:trPr>
          <w:trHeight w:val="27"/>
        </w:trPr>
        <w:tc>
          <w:tcPr>
            <w:tcW w:w="4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5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special items</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2,256</w:t>
            </w: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w:t>
            </w: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5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before special items</w:t>
            </w:r>
          </w:p>
        </w:tc>
        <w:tc>
          <w:tcPr>
            <w:tcW w:w="5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(9,662)</w:t>
            </w:r>
          </w:p>
        </w:tc>
      </w:tr>
      <w:tr>
        <w:trPr>
          <w:trHeight w:val="27"/>
        </w:trPr>
        <w:tc>
          <w:tcPr>
            <w:tcW w:w="4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12,508</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19,569</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23,664</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32,501</w:t>
            </w:r>
          </w:p>
        </w:tc>
      </w:tr>
      <w:tr>
        <w:trPr>
          <w:trHeight w:val="251"/>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costs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r>
      <w:tr>
        <w:trPr>
          <w:trHeight w:val="20"/>
        </w:trPr>
        <w:tc>
          <w:tcPr>
            <w:tcW w:w="4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51"/>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special items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24,680</w:t>
            </w: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31,909</w:t>
            </w:r>
          </w:p>
        </w:tc>
      </w:tr>
      <w:tr>
        <w:trPr>
          <w:trHeight w:val="20"/>
        </w:trPr>
        <w:tc>
          <w:tcPr>
            <w:tcW w:w="4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2016, income from operations (GAAP) decreased $7.1 million, or 36%, compared with the prior year’s second quarter, and income before special items (non-GAAP) decreased $6.9 million, or 35%. As a percentage of revenues, income before special items decreased by 290 basis points to 7.3% in the second quarter of fiscal 2017 from 10.2% in the second quarter of fiscal 2016.</w:t>
      </w:r>
    </w:p>
    <w:p>
      <w:pPr>
        <w:spacing w:after="0" w:line="25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Operating expenses increased $2.2 million compared with the prior year’s second quarter, driven by $2.1 million increase in recurring expenses and an increase in special items of $0.1 million. The recurring expenses were primarily driven by a $1.4 million increase in professional fees and personnel for the Corporate segment compared to the second quarter of fiscal 2016. Services, International and the Products and Systems segments were flat from the second quarter of fiscal 2017 to fiscal 2016.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18" w:right="259" w:bottom="1440" w:gutter="0" w:footer="0" w:header="0"/>
          <w:type w:val="continuous"/>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3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six months ended November 30, 2016, income from operations (GAAP) decreased $8.8 million, or 27%, compared with the prior year, and income before special items (non-GAAP) decreased $7.2 million, or 23%. As a percentage of revenues, income before special items decreased by 130 basis points to 7.2% in the first six months of fiscal 2017 from 8.5% in the first six months of fiscal 2016.</w:t>
      </w:r>
    </w:p>
    <w:p>
      <w:pPr>
        <w:spacing w:after="0" w:line="2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expenses increased $2.8 million compared with the prior year’s first six months, driven by a $1.2 million increase in recurring expenses and a $1.6 million increase in special items, which was primarily due to acquisition-related expense. The recurring expenses were primarily driven by a $2.0 million increase in professional fees and personnel for the Corporate segment, which was offset by the International segment, which decreased $1.8 million, primarily due to foreign currency gains. The Services and the Products and Systems segments were flat for the first six months of fiscal 2017 to fiscal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Interest expense was approximately $0.9 million and $1.3 million for the second quarters of fiscal 2017 and 2016, respectively. Interest expense was approximately $1.7 million and $3.3 million for the first six months of fiscal 2017 and 2016, respectively. These decreases were primarily related to the repayment of seller notes related to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approximately 37% for the second quarters of fiscal 2017 and 2016. The Company's effective tax rate was approximately 37% and 38% for the first six months of fiscal 2017 and 2016, respectively. The decrease was primarily due to the impact of favorable discrete items.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are summarized in the table below: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8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2016</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November 30, 2015</w:t>
            </w:r>
          </w:p>
        </w:tc>
      </w:tr>
      <w:tr>
        <w:trPr>
          <w:trHeight w:val="196"/>
        </w:trPr>
        <w:tc>
          <w:tcPr>
            <w:tcW w:w="8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gridSpan w:val="4"/>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25,969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26,524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six months ended November 30, 2016, cash provided by operating activities was $26.0 million, a decrease of $0.6 million, or 2%. The decrease was primarily attributable to the timing of collections, accrued expenses and other payables</w:t>
      </w:r>
      <w:r>
        <w:rPr>
          <w:rFonts w:ascii="Times New Roman" w:cs="Times New Roman" w:eastAsia="Times New Roman" w:hAnsi="Times New Roman"/>
          <w:sz w:val="18"/>
          <w:szCs w:val="18"/>
          <w:color w:val="FF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six months ended November 30, 2016, cash used in investing activities was $15.0 million, compared with a cash outflow of $9.6 million in the comparable period of the prior year. The first six months of fiscal 2017 included $8.2 million outflow related to acquisitions, compared with $1.7 million for the comparable period in fiscal 2016. Cash used for capital expenditures was $7.4 million and $8.2 million in the first six months of fiscal 2017 and 2016,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by financing activities was $4.3 million for the six months ended November 30, 2016, which was primarily for the repurchase of $7.0 million of the Company's stock under its stock repurchase plan. For the comparable period in fiscal 2016, the Company utilized most of the $18.3 million of free cash flow to reduce its debt and capital lease obligations by $15.2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 net reduction of $1.5 million in the first six months of fiscal 2017, compared to $0.2 million for the first six months of fiscal 2016, primarily driven by exchange rates for fiscal 2017, notably the impact of the United Kingdom's exit from the European Union.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 xml:space="preserve">The terms of our Credit Agreement have not changed from those set forth in Part II, Item 7 of our 2016 Annual Report under the Section “Liquidity and Capital Resources”, under the heading “Cash Balance and Credit Facility Borrowings,” and Note 10 -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these condensed consolidated financial statements in this report, under the heading “Senior Credit Facility.”</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November 30, 2016, we had cash and cash equivalents totaling $26.3 million and available borrowing capacity of $81.3 million under our Credit Agreement with borrowings of $88.0 million and $5.7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November 30, 2016, we were in compliance with the terms of the Credit Agreement, and we will continuously monitor our compliance with the covenants contained in our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our contractual obligations and outstanding indebtedness as disclosed in the 2016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six months ended November 30, 2016,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2016 Annual Report.</w:t>
      </w:r>
    </w:p>
    <w:p>
      <w:pPr>
        <w:spacing w:after="0" w:line="15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7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Company’s quantitative and qualitative disclosures about market risk as discussed in Part II, Item 7A “Quantitative and Qualitative Disclosures About Market Risk,” included in the 2016 Annual Report.</w:t>
      </w:r>
    </w:p>
    <w:p>
      <w:pPr>
        <w:spacing w:after="0" w:line="15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November 30, 2016,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118" w:right="27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Officer have concluded that the Company’s disclosure controls and procedures are effective to ensure that information required to be disclosed by the Company in the reports it files or submits under the Exchange Act is recorded, processed, summarized and reported within the time periods specified in SEC rules and forms.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that occurred during the Company’s quarter ended November 30, 2016 that has materially affected, or is reasonably likely to materially affect, such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00"/>
          </w:cols>
          <w:pgMar w:left="240" w:top="118" w:right="35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68"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 xml:space="preserve">See Note 12 -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condensed consolidated financial statements included in this report for a description of our legal proceedings. There have been no material developments with regard to any matters disclosed under Part I, Item 3 “Legal Proceedings” in our 2016 Annual Report except as set forth in Note 12.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7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under the “Risk Factors” section included in our 2016 Annual Report. There have been no material changes to the risk factors previously disclosed in the 2016 Annual Report.</w:t>
      </w:r>
    </w:p>
    <w:p>
      <w:pPr>
        <w:spacing w:after="0" w:line="15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66" w:lineRule="exact"/>
        <w:rPr>
          <w:sz w:val="20"/>
          <w:szCs w:val="20"/>
          <w:color w:val="auto"/>
        </w:rPr>
      </w:pPr>
    </w:p>
    <w:p>
      <w:pPr>
        <w:ind w:left="660" w:right="8800" w:hanging="652"/>
        <w:spacing w:after="0" w:line="501" w:lineRule="auto"/>
        <w:tabs>
          <w:tab w:leader="none" w:pos="267"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ind w:left="660" w:right="6980" w:hanging="652"/>
        <w:spacing w:after="0" w:line="501" w:lineRule="auto"/>
        <w:tabs>
          <w:tab w:leader="none" w:pos="267"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ind w:left="260" w:hanging="252"/>
        <w:spacing w:after="0"/>
        <w:tabs>
          <w:tab w:leader="none" w:pos="2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quarter pursuant to the surrender of shares by employees to satisfy the minimum tax withholding obligations in connection with the vesting of restricted stock units as well as shares from the Company's share repurchase plan.</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234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180" w:type="dxa"/>
            <w:vAlign w:val="bottom"/>
          </w:tcPr>
          <w:p>
            <w:pPr>
              <w:spacing w:after="0"/>
              <w:rPr>
                <w:sz w:val="13"/>
                <w:szCs w:val="13"/>
                <w:color w:val="auto"/>
              </w:rPr>
            </w:pPr>
          </w:p>
        </w:tc>
        <w:tc>
          <w:tcPr>
            <w:tcW w:w="160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Purchased as</w:t>
            </w:r>
          </w:p>
        </w:tc>
        <w:tc>
          <w:tcPr>
            <w:tcW w:w="180" w:type="dxa"/>
            <w:vAlign w:val="bottom"/>
          </w:tcPr>
          <w:p>
            <w:pPr>
              <w:spacing w:after="0"/>
              <w:rPr>
                <w:sz w:val="13"/>
                <w:szCs w:val="13"/>
                <w:color w:val="auto"/>
              </w:rPr>
            </w:pPr>
          </w:p>
        </w:tc>
        <w:tc>
          <w:tcPr>
            <w:tcW w:w="27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Approximate Dollar Value of Shares that</w:t>
            </w:r>
          </w:p>
        </w:tc>
        <w:tc>
          <w:tcPr>
            <w:tcW w:w="0" w:type="dxa"/>
            <w:vAlign w:val="bottom"/>
          </w:tcPr>
          <w:p>
            <w:pPr>
              <w:spacing w:after="0"/>
              <w:rPr>
                <w:sz w:val="1"/>
                <w:szCs w:val="1"/>
                <w:color w:val="auto"/>
              </w:rPr>
            </w:pPr>
          </w:p>
        </w:tc>
      </w:tr>
      <w:tr>
        <w:trPr>
          <w:trHeight w:val="149"/>
        </w:trPr>
        <w:tc>
          <w:tcPr>
            <w:tcW w:w="1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Month Ending</w:t>
            </w:r>
          </w:p>
        </w:tc>
        <w:tc>
          <w:tcPr>
            <w:tcW w:w="23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 Announced Plans or</w:t>
            </w:r>
          </w:p>
        </w:tc>
        <w:tc>
          <w:tcPr>
            <w:tcW w:w="180" w:type="dxa"/>
            <w:vAlign w:val="bottom"/>
          </w:tcPr>
          <w:p>
            <w:pPr>
              <w:spacing w:after="0"/>
              <w:rPr>
                <w:sz w:val="12"/>
                <w:szCs w:val="12"/>
                <w:color w:val="auto"/>
              </w:rPr>
            </w:pPr>
          </w:p>
        </w:tc>
        <w:tc>
          <w:tcPr>
            <w:tcW w:w="27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 the Plans or</w:t>
            </w:r>
          </w:p>
        </w:tc>
        <w:tc>
          <w:tcPr>
            <w:tcW w:w="0" w:type="dxa"/>
            <w:vAlign w:val="bottom"/>
          </w:tcPr>
          <w:p>
            <w:pPr>
              <w:spacing w:after="0"/>
              <w:rPr>
                <w:sz w:val="1"/>
                <w:szCs w:val="1"/>
                <w:color w:val="auto"/>
              </w:rPr>
            </w:pPr>
          </w:p>
        </w:tc>
      </w:tr>
      <w:tr>
        <w:trPr>
          <w:trHeight w:val="195"/>
        </w:trPr>
        <w:tc>
          <w:tcPr>
            <w:tcW w:w="186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8"/>
                <w:szCs w:val="8"/>
                <w:b w:val="1"/>
                <w:bCs w:val="1"/>
                <w:color w:val="auto"/>
              </w:rPr>
              <w:t>(1)</w:t>
            </w: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9"/>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2016</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24.56</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43"/>
        </w:trPr>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October 31, 2016</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21.55</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45,004,530</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30, 2016</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20.89</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43,004,307</w:t>
            </w:r>
          </w:p>
        </w:tc>
        <w:tc>
          <w:tcPr>
            <w:tcW w:w="0" w:type="dxa"/>
            <w:vAlign w:val="bottom"/>
          </w:tcPr>
          <w:p>
            <w:pPr>
              <w:spacing w:after="0"/>
              <w:rPr>
                <w:sz w:val="1"/>
                <w:szCs w:val="1"/>
                <w:color w:val="auto"/>
              </w:rPr>
            </w:pPr>
          </w:p>
        </w:tc>
      </w:tr>
      <w:tr>
        <w:trPr>
          <w:trHeight w:val="27"/>
        </w:trPr>
        <w:tc>
          <w:tcPr>
            <w:tcW w:w="18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 On October 7, 2015, the Company announced that its Board of Directors approved a share repurchase plan, which authorizes the expenditure of up to</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$50.0 million for the purchase of the Company's common stock. On August 17, 2016, the Company entered into an agreement with its founder, Chairman and Chief Executive Officer, Dr. Sotirios Vahaviolos, which provides for the Company to repurchase up to 1 million shares of its common stock from Dr. Vahaviolos. The amounts in this column include purchases from Dr. Vahaviolos of 85,234 shares in October and 95,980 shares in November.</w:t>
      </w:r>
    </w:p>
    <w:p>
      <w:pPr>
        <w:spacing w:after="0" w:line="39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219"/>
          </w:cols>
          <w:pgMar w:left="240" w:top="118"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0260" w:type="dxa"/>
            <w:vAlign w:val="bottom"/>
          </w:tcPr>
          <w:p>
            <w:pPr>
              <w:spacing w:after="0"/>
              <w:rPr>
                <w:sz w:val="13"/>
                <w:szCs w:val="13"/>
                <w:color w:val="auto"/>
              </w:rPr>
            </w:pPr>
          </w:p>
        </w:tc>
      </w:tr>
      <w:tr>
        <w:trPr>
          <w:trHeight w:val="466"/>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0" w:type="dxa"/>
            <w:vAlign w:val="bottom"/>
            <w:gridSpan w:val="2"/>
          </w:tcPr>
          <w:p>
            <w:pPr>
              <w:spacing w:after="0"/>
              <w:rPr>
                <w:sz w:val="24"/>
                <w:szCs w:val="24"/>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589"/>
        </w:trPr>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260" w:type="dxa"/>
            <w:vAlign w:val="bottom"/>
          </w:tcPr>
          <w:p>
            <w:pPr>
              <w:ind w:left="47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566"/>
        </w:trPr>
        <w:tc>
          <w:tcPr>
            <w:tcW w:w="1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Certificate of Amendment to the Second Amended and Restated Certificate of Incorporation</w:t>
            </w:r>
          </w:p>
        </w:tc>
      </w:tr>
      <w:tr>
        <w:trPr>
          <w:trHeight w:val="54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under the Securities Exchange Act of 1934.</w:t>
            </w:r>
          </w:p>
        </w:tc>
      </w:tr>
      <w:tr>
        <w:trPr>
          <w:trHeight w:val="54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under the Securities Exchange Act of 1934.</w:t>
            </w:r>
          </w:p>
        </w:tc>
      </w:tr>
      <w:tr>
        <w:trPr>
          <w:trHeight w:val="594"/>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w:t>
            </w:r>
          </w:p>
        </w:tc>
      </w:tr>
      <w:tr>
        <w:trPr>
          <w:trHeight w:val="540"/>
        </w:trPr>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540"/>
        </w:trPr>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540"/>
        </w:trPr>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540"/>
        </w:trPr>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540"/>
        </w:trPr>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918"/>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31</w:t>
            </w:r>
          </w:p>
        </w:tc>
      </w:tr>
    </w:tbl>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337" w:lineRule="exact"/>
        <w:rPr>
          <w:sz w:val="20"/>
          <w:szCs w:val="20"/>
          <w:color w:val="auto"/>
        </w:rPr>
      </w:pPr>
    </w:p>
    <w:p>
      <w:pPr>
        <w:ind w:left="496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8334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Jonathan H. Wolk</w:t>
      </w:r>
    </w:p>
    <w:p>
      <w:pPr>
        <w:spacing w:after="0" w:line="6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Senior Executive Vice President, Chief Financial Officer and Treasurer</w:t>
      </w:r>
    </w:p>
    <w:p>
      <w:pPr>
        <w:spacing w:after="0" w:line="6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10, 2017</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240" w:top="118" w:right="71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AMENDED AND RESTATED CERTIFICATE OF INCORPORATION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MISTRAS GROUP, INC.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 * * *</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Mistras Group,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a corporation organized and existing under the General Corporation Law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Delaware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does hereby certify that:</w:t>
      </w:r>
    </w:p>
    <w:p>
      <w:pPr>
        <w:spacing w:after="0" w:line="196" w:lineRule="exact"/>
        <w:rPr>
          <w:sz w:val="20"/>
          <w:szCs w:val="20"/>
          <w:color w:val="auto"/>
        </w:rPr>
      </w:pPr>
    </w:p>
    <w:p>
      <w:pPr>
        <w:jc w:val="both"/>
        <w:ind w:left="660" w:firstLine="645"/>
        <w:spacing w:after="0" w:line="255" w:lineRule="auto"/>
        <w:tabs>
          <w:tab w:leader="none" w:pos="20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Second Amended and Restated Certificate of Incorporation of the Corporation, filed with the Secretary of State of the State of Delaware on October 14, 2009, is hereby amended by deleting Article VIII thereof in its entirety and substituting the following in lieu thereof:</w:t>
      </w:r>
    </w:p>
    <w:p>
      <w:pPr>
        <w:spacing w:after="0" w:line="1"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color w:val="auto"/>
        </w:rPr>
        <w:t>ARTICLE VIII</w:t>
      </w:r>
    </w:p>
    <w:p>
      <w:pPr>
        <w:spacing w:after="0" w:line="196"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color w:val="auto"/>
        </w:rPr>
        <w:t>Any director may be removed from the Board of Directors by the stockholders of the corporation with or without cause by the affirmative vote of the holders of at least a majority of the voting power of the issued and outstanding shares of capital stock of the corporation then entitled to vote in the election of directors. Vacancies occurring on the Board of Directors for any reason and newly created directorships resulting from an increase in the authorized number of directors may be filled only by a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annual meeting of stockholders and until his or her successor shall be duly elected and qualified. No decrease in the number of directors constituting the Board of Directors shall shorten the term of any incumbent director.</w:t>
      </w:r>
    </w:p>
    <w:p>
      <w:pPr>
        <w:spacing w:after="0" w:line="192" w:lineRule="exact"/>
        <w:rPr>
          <w:sz w:val="20"/>
          <w:szCs w:val="20"/>
          <w:color w:val="auto"/>
        </w:rPr>
      </w:pPr>
    </w:p>
    <w:p>
      <w:pPr>
        <w:ind w:left="2080" w:hanging="775"/>
        <w:spacing w:after="0"/>
        <w:tabs>
          <w:tab w:leader="none" w:pos="2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Certificate of Amendment was duly adopted in accordance with Section 242 of the DGCL.</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has caused the Certificate of Amendment of the Certificate of Incorporation to be signed, under penalties of perjury, and the facts stated herein are true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19, 2016</w:t>
      </w:r>
    </w:p>
    <w:p>
      <w:pPr>
        <w:spacing w:after="0" w:line="22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Michael C. Keefe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-13970</wp:posOffset>
            </wp:positionV>
            <wp:extent cx="16840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84020"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Michael C. Keefe</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Executive Vice President, General Counsel and Secretary</w:t>
      </w:r>
    </w:p>
    <w:p>
      <w:pPr>
        <w:sectPr>
          <w:pgSz w:w="11900" w:h="16838" w:orient="portrait"/>
          <w:cols w:equalWidth="0" w:num="1">
            <w:col w:w="11420"/>
          </w:cols>
          <w:pgMar w:left="240" w:top="581"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Sotirios J. Vahaviolos, certify that:</w:t>
      </w:r>
    </w:p>
    <w:p>
      <w:pPr>
        <w:spacing w:after="0" w:line="171"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10, 2017</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Sotirios J. Vahaviolos</w:t>
      </w:r>
    </w:p>
    <w:p>
      <w:pPr>
        <w:spacing w:after="0" w:line="14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657"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H. Wolk, certify that:</w:t>
      </w:r>
    </w:p>
    <w:p>
      <w:pPr>
        <w:spacing w:after="0" w:line="171"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10, 2017</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Jonathan H. Wolk</w:t>
      </w:r>
    </w:p>
    <w:p>
      <w:pPr>
        <w:spacing w:after="0" w:line="1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Executive Vice President, Chief Financial Officer and Treasurer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657"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November 30, 2016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10, 2017</w:t>
      </w:r>
    </w:p>
    <w:p>
      <w:pPr>
        <w:spacing w:after="0" w:line="3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Sotirios J. Vahaviolos</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Jonathan H. Wolk</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Executive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2"/>
    </w:lvl>
  </w:abstractNum>
  <w:abstractNum w:abstractNumId="11">
    <w:nsid w:val="628C895D"/>
    <w:multiLevelType w:val="hybridMultilevel"/>
    <w:lvl w:ilvl="0">
      <w:lvlJc w:val="left"/>
      <w:lvlText w:val="%1."/>
      <w:numFmt w:val="decimal"/>
      <w:start w:val="3"/>
    </w:lvl>
  </w:abstractNum>
  <w:abstractNum w:abstractNumId="12">
    <w:nsid w:val="333AB105"/>
    <w:multiLevelType w:val="hybridMultilevel"/>
    <w:lvl w:ilvl="0">
      <w:lvlJc w:val="left"/>
      <w:lvlText w:val="(%1)"/>
      <w:numFmt w:val="decimal"/>
      <w:start w:val="2"/>
    </w:lvl>
  </w:abstractNum>
  <w:abstractNum w:abstractNumId="13">
    <w:nsid w:val="721DA317"/>
    <w:multiLevelType w:val="hybridMultilevel"/>
    <w:lvl w:ilvl="0">
      <w:lvlJc w:val="left"/>
      <w:lvlText w:val="%1."/>
      <w:numFmt w:val="decimal"/>
      <w:start w:val="4"/>
    </w:lvl>
  </w:abstractNum>
  <w:abstractNum w:abstractNumId="14">
    <w:nsid w:val="2443A858"/>
    <w:multiLevelType w:val="hybridMultilevel"/>
    <w:lvl w:ilvl="0">
      <w:lvlJc w:val="left"/>
      <w:lvlText w:val="%1."/>
      <w:numFmt w:val="decimal"/>
      <w:start w:val="5"/>
    </w:lvl>
  </w:abstractNum>
  <w:abstractNum w:abstractNumId="15">
    <w:nsid w:val="2D1D5AE9"/>
    <w:multiLevelType w:val="hybridMultilevel"/>
    <w:lvl w:ilvl="0">
      <w:lvlJc w:val="left"/>
      <w:lvlText w:val="%1."/>
      <w:numFmt w:val="decimal"/>
      <w:start w:val="7"/>
    </w:lvl>
  </w:abstractNum>
  <w:abstractNum w:abstractNumId="16">
    <w:nsid w:val="6763845E"/>
    <w:multiLevelType w:val="hybridMultilevel"/>
    <w:lvl w:ilvl="0">
      <w:lvlJc w:val="left"/>
      <w:lvlText w:val="%1."/>
      <w:numFmt w:val="decimal"/>
      <w:start w:val="8"/>
    </w:lvl>
  </w:abstractNum>
  <w:abstractNum w:abstractNumId="17">
    <w:nsid w:val="75A2A8D4"/>
    <w:multiLevelType w:val="hybridMultilevel"/>
    <w:lvl w:ilvl="0">
      <w:lvlJc w:val="left"/>
      <w:lvlText w:val="%1."/>
      <w:numFmt w:val="decimal"/>
      <w:start w:val="9"/>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1"/>
    </w:lvl>
  </w:abstractNum>
  <w:abstractNum w:abstractNumId="20">
    <w:nsid w:val="4353D0CD"/>
    <w:multiLevelType w:val="hybridMultilevel"/>
    <w:lvl w:ilvl="0">
      <w:lvlJc w:val="left"/>
      <w:lvlText w:val="%1."/>
      <w:numFmt w:val="decimal"/>
      <w:start w:val="12"/>
    </w:lvl>
  </w:abstractNum>
  <w:abstractNum w:abstractNumId="21">
    <w:nsid w:val="B03E0C6"/>
    <w:multiLevelType w:val="hybridMultilevel"/>
    <w:lvl w:ilvl="0">
      <w:lvlJc w:val="left"/>
      <w:lvlText w:val="%1."/>
      <w:numFmt w:val="decimal"/>
      <w:start w:val="13"/>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2"/>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2019-12-29T08:22:11Z</dcterms:created>
  <dcterms:modified xsi:type="dcterms:W3CDTF">2019-12-29T08:22:11Z</dcterms:modified>
</cp:coreProperties>
</file>