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51" w:lineRule="exact"/>
        <w:rPr>
          <w:sz w:val="24"/>
          <w:szCs w:val="24"/>
          <w:color w:val="auto"/>
        </w:rPr>
      </w:pPr>
    </w:p>
    <w:p>
      <w:pPr>
        <w:ind w:left="3900" w:right="1880" w:hanging="3797"/>
        <w:spacing w:after="0" w:line="516" w:lineRule="auto"/>
        <w:tabs>
          <w:tab w:leader="none" w:pos="38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2017</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380" w:right="1880" w:hanging="4525"/>
        <w:spacing w:after="0" w:line="516" w:lineRule="auto"/>
        <w:tabs>
          <w:tab w:leader="none" w:pos="360" w:val="left"/>
        </w:tabs>
        <w:rPr>
          <w:sz w:val="20"/>
          <w:szCs w:val="20"/>
          <w:color w:val="auto"/>
        </w:rPr>
      </w:pPr>
      <w:r>
        <w:rPr>
          <w:rFonts w:ascii="Arial" w:cs="Arial" w:eastAsia="Arial" w:hAnsi="Arial"/>
          <w:sz w:val="18"/>
          <w:szCs w:val="18"/>
          <w:b w:val="1"/>
          <w:bCs w:val="1"/>
          <w:color w:val="auto"/>
        </w:rPr>
        <w:t>o</w:t>
        <w:tab/>
        <w:t>TRANSITION REPORT PURSUANT TO SECTION 13 OR 15(d) OF THE SECURITIES EXCHANGE ACT OF 1934 For the transition period to</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001- 34481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102870</wp:posOffset>
            </wp:positionV>
            <wp:extent cx="32156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15640" cy="1714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Mistras Group,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167640</wp:posOffset>
            </wp:positionV>
            <wp:extent cx="32156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156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3320" w:type="dxa"/>
            <w:vAlign w:val="bottom"/>
          </w:tcPr>
          <w:p>
            <w:pPr>
              <w:jc w:val="center"/>
              <w:ind w:right="370"/>
              <w:spacing w:after="0"/>
              <w:rPr>
                <w:sz w:val="20"/>
                <w:szCs w:val="20"/>
                <w:color w:val="auto"/>
              </w:rPr>
            </w:pPr>
            <w:r>
              <w:rPr>
                <w:rFonts w:ascii="Arial" w:cs="Arial" w:eastAsia="Arial" w:hAnsi="Arial"/>
                <w:sz w:val="18"/>
                <w:szCs w:val="18"/>
                <w:b w:val="1"/>
                <w:bCs w:val="1"/>
                <w:color w:val="auto"/>
                <w:w w:val="93"/>
              </w:rPr>
              <w:t>Delaware</w:t>
            </w:r>
          </w:p>
        </w:tc>
        <w:tc>
          <w:tcPr>
            <w:tcW w:w="4540" w:type="dxa"/>
            <w:vAlign w:val="bottom"/>
          </w:tcPr>
          <w:p>
            <w:pPr>
              <w:jc w:val="right"/>
              <w:ind w:right="150"/>
              <w:spacing w:after="0"/>
              <w:rPr>
                <w:sz w:val="20"/>
                <w:szCs w:val="20"/>
                <w:color w:val="auto"/>
              </w:rPr>
            </w:pPr>
            <w:r>
              <w:rPr>
                <w:rFonts w:ascii="Arial" w:cs="Arial" w:eastAsia="Arial" w:hAnsi="Arial"/>
                <w:sz w:val="18"/>
                <w:szCs w:val="18"/>
                <w:b w:val="1"/>
                <w:bCs w:val="1"/>
                <w:color w:val="auto"/>
              </w:rPr>
              <w:t>22-3341267</w:t>
            </w:r>
          </w:p>
        </w:tc>
      </w:tr>
      <w:tr>
        <w:trPr>
          <w:trHeight w:val="256"/>
        </w:trPr>
        <w:tc>
          <w:tcPr>
            <w:tcW w:w="3320" w:type="dxa"/>
            <w:vAlign w:val="bottom"/>
          </w:tcPr>
          <w:p>
            <w:pPr>
              <w:jc w:val="center"/>
              <w:ind w:right="370"/>
              <w:spacing w:after="0"/>
              <w:rPr>
                <w:sz w:val="20"/>
                <w:szCs w:val="20"/>
                <w:color w:val="auto"/>
              </w:rPr>
            </w:pPr>
            <w:r>
              <w:rPr>
                <w:rFonts w:ascii="Arial" w:cs="Arial" w:eastAsia="Arial" w:hAnsi="Arial"/>
                <w:sz w:val="18"/>
                <w:szCs w:val="18"/>
                <w:color w:val="auto"/>
                <w:w w:val="93"/>
              </w:rPr>
              <w:t>(State or other jurisdiction of</w:t>
            </w:r>
          </w:p>
        </w:tc>
        <w:tc>
          <w:tcPr>
            <w:tcW w:w="4540" w:type="dxa"/>
            <w:vAlign w:val="bottom"/>
          </w:tcPr>
          <w:p>
            <w:pPr>
              <w:jc w:val="center"/>
              <w:ind w:left="3110"/>
              <w:spacing w:after="0"/>
              <w:rPr>
                <w:sz w:val="20"/>
                <w:szCs w:val="20"/>
                <w:color w:val="auto"/>
              </w:rPr>
            </w:pPr>
            <w:r>
              <w:rPr>
                <w:rFonts w:ascii="Arial" w:cs="Arial" w:eastAsia="Arial" w:hAnsi="Arial"/>
                <w:sz w:val="18"/>
                <w:szCs w:val="18"/>
                <w:color w:val="auto"/>
                <w:w w:val="92"/>
              </w:rPr>
              <w:t>(I.R.S. Employer</w:t>
            </w:r>
          </w:p>
        </w:tc>
      </w:tr>
      <w:tr>
        <w:trPr>
          <w:trHeight w:val="230"/>
        </w:trPr>
        <w:tc>
          <w:tcPr>
            <w:tcW w:w="3320" w:type="dxa"/>
            <w:vAlign w:val="bottom"/>
          </w:tcPr>
          <w:p>
            <w:pPr>
              <w:jc w:val="center"/>
              <w:ind w:right="370"/>
              <w:spacing w:after="0"/>
              <w:rPr>
                <w:sz w:val="20"/>
                <w:szCs w:val="20"/>
                <w:color w:val="auto"/>
              </w:rPr>
            </w:pPr>
            <w:r>
              <w:rPr>
                <w:rFonts w:ascii="Arial" w:cs="Arial" w:eastAsia="Arial" w:hAnsi="Arial"/>
                <w:sz w:val="18"/>
                <w:szCs w:val="18"/>
                <w:color w:val="auto"/>
                <w:w w:val="93"/>
              </w:rPr>
              <w:t>incorporation or organization)</w:t>
            </w:r>
          </w:p>
        </w:tc>
        <w:tc>
          <w:tcPr>
            <w:tcW w:w="4540" w:type="dxa"/>
            <w:vAlign w:val="bottom"/>
          </w:tcPr>
          <w:p>
            <w:pPr>
              <w:jc w:val="center"/>
              <w:ind w:left="3110"/>
              <w:spacing w:after="0"/>
              <w:rPr>
                <w:sz w:val="20"/>
                <w:szCs w:val="20"/>
                <w:color w:val="auto"/>
              </w:rPr>
            </w:pPr>
            <w:r>
              <w:rPr>
                <w:rFonts w:ascii="Arial" w:cs="Arial" w:eastAsia="Arial" w:hAnsi="Arial"/>
                <w:sz w:val="18"/>
                <w:szCs w:val="18"/>
                <w:color w:val="auto"/>
                <w:w w:val="95"/>
              </w:rPr>
              <w:t>Identification No.)</w:t>
            </w:r>
          </w:p>
        </w:tc>
      </w:tr>
      <w:tr>
        <w:trPr>
          <w:trHeight w:val="522"/>
        </w:trPr>
        <w:tc>
          <w:tcPr>
            <w:tcW w:w="3320" w:type="dxa"/>
            <w:vAlign w:val="bottom"/>
          </w:tcPr>
          <w:p>
            <w:pPr>
              <w:jc w:val="center"/>
              <w:ind w:right="370"/>
              <w:spacing w:after="0"/>
              <w:rPr>
                <w:sz w:val="20"/>
                <w:szCs w:val="20"/>
                <w:color w:val="auto"/>
              </w:rPr>
            </w:pPr>
            <w:r>
              <w:rPr>
                <w:rFonts w:ascii="Arial" w:cs="Arial" w:eastAsia="Arial" w:hAnsi="Arial"/>
                <w:sz w:val="18"/>
                <w:szCs w:val="18"/>
                <w:b w:val="1"/>
                <w:bCs w:val="1"/>
                <w:color w:val="auto"/>
                <w:w w:val="92"/>
              </w:rPr>
              <w:t>195 Clarksville Road</w:t>
            </w:r>
          </w:p>
        </w:tc>
        <w:tc>
          <w:tcPr>
            <w:tcW w:w="4540" w:type="dxa"/>
            <w:vAlign w:val="bottom"/>
          </w:tcPr>
          <w:p>
            <w:pPr>
              <w:spacing w:after="0"/>
              <w:rPr>
                <w:sz w:val="24"/>
                <w:szCs w:val="24"/>
                <w:color w:val="auto"/>
              </w:rPr>
            </w:pPr>
          </w:p>
        </w:tc>
      </w:tr>
      <w:tr>
        <w:trPr>
          <w:trHeight w:val="234"/>
        </w:trPr>
        <w:tc>
          <w:tcPr>
            <w:tcW w:w="3320" w:type="dxa"/>
            <w:vAlign w:val="bottom"/>
          </w:tcPr>
          <w:p>
            <w:pPr>
              <w:jc w:val="center"/>
              <w:ind w:right="370"/>
              <w:spacing w:after="0"/>
              <w:rPr>
                <w:sz w:val="20"/>
                <w:szCs w:val="20"/>
                <w:color w:val="auto"/>
              </w:rPr>
            </w:pPr>
            <w:r>
              <w:rPr>
                <w:rFonts w:ascii="Arial" w:cs="Arial" w:eastAsia="Arial" w:hAnsi="Arial"/>
                <w:sz w:val="18"/>
                <w:szCs w:val="18"/>
                <w:b w:val="1"/>
                <w:bCs w:val="1"/>
                <w:color w:val="auto"/>
                <w:w w:val="88"/>
              </w:rPr>
              <w:t>Princeton Junction, New Jersey</w:t>
            </w:r>
          </w:p>
        </w:tc>
        <w:tc>
          <w:tcPr>
            <w:tcW w:w="4540" w:type="dxa"/>
            <w:vAlign w:val="bottom"/>
          </w:tcPr>
          <w:p>
            <w:pPr>
              <w:jc w:val="right"/>
              <w:ind w:right="350"/>
              <w:spacing w:after="0"/>
              <w:rPr>
                <w:sz w:val="20"/>
                <w:szCs w:val="20"/>
                <w:color w:val="auto"/>
              </w:rPr>
            </w:pPr>
            <w:r>
              <w:rPr>
                <w:rFonts w:ascii="Arial" w:cs="Arial" w:eastAsia="Arial" w:hAnsi="Arial"/>
                <w:sz w:val="18"/>
                <w:szCs w:val="18"/>
                <w:b w:val="1"/>
                <w:bCs w:val="1"/>
                <w:color w:val="auto"/>
              </w:rPr>
              <w:t>08550</w:t>
            </w:r>
          </w:p>
        </w:tc>
      </w:tr>
      <w:tr>
        <w:trPr>
          <w:trHeight w:val="270"/>
        </w:trPr>
        <w:tc>
          <w:tcPr>
            <w:tcW w:w="3320" w:type="dxa"/>
            <w:vAlign w:val="bottom"/>
          </w:tcPr>
          <w:p>
            <w:pPr>
              <w:jc w:val="center"/>
              <w:ind w:right="370"/>
              <w:spacing w:after="0"/>
              <w:rPr>
                <w:sz w:val="20"/>
                <w:szCs w:val="20"/>
                <w:color w:val="auto"/>
              </w:rPr>
            </w:pPr>
            <w:r>
              <w:rPr>
                <w:rFonts w:ascii="Arial" w:cs="Arial" w:eastAsia="Arial" w:hAnsi="Arial"/>
                <w:sz w:val="18"/>
                <w:szCs w:val="18"/>
                <w:color w:val="auto"/>
                <w:w w:val="92"/>
              </w:rPr>
              <w:t>(Address of principal executive offices)</w:t>
            </w:r>
          </w:p>
        </w:tc>
        <w:tc>
          <w:tcPr>
            <w:tcW w:w="4540" w:type="dxa"/>
            <w:vAlign w:val="bottom"/>
          </w:tcPr>
          <w:p>
            <w:pPr>
              <w:jc w:val="center"/>
              <w:ind w:left="3110"/>
              <w:spacing w:after="0"/>
              <w:rPr>
                <w:sz w:val="20"/>
                <w:szCs w:val="20"/>
                <w:color w:val="auto"/>
              </w:rPr>
            </w:pPr>
            <w:r>
              <w:rPr>
                <w:rFonts w:ascii="Arial" w:cs="Arial" w:eastAsia="Arial" w:hAnsi="Arial"/>
                <w:sz w:val="18"/>
                <w:szCs w:val="18"/>
                <w:color w:val="auto"/>
                <w:w w:val="91"/>
              </w:rPr>
              <w:t>(Zip Code)</w:t>
            </w:r>
          </w:p>
        </w:tc>
      </w:tr>
      <w:tr>
        <w:trPr>
          <w:trHeight w:val="459"/>
        </w:trPr>
        <w:tc>
          <w:tcPr>
            <w:tcW w:w="3320" w:type="dxa"/>
            <w:vAlign w:val="bottom"/>
          </w:tcPr>
          <w:p>
            <w:pPr>
              <w:spacing w:after="0"/>
              <w:rPr>
                <w:sz w:val="24"/>
                <w:szCs w:val="24"/>
                <w:color w:val="auto"/>
              </w:rPr>
            </w:pPr>
          </w:p>
        </w:tc>
        <w:tc>
          <w:tcPr>
            <w:tcW w:w="4540" w:type="dxa"/>
            <w:vAlign w:val="bottom"/>
          </w:tcPr>
          <w:p>
            <w:pPr>
              <w:jc w:val="right"/>
              <w:ind w:right="2870"/>
              <w:spacing w:after="0"/>
              <w:rPr>
                <w:sz w:val="20"/>
                <w:szCs w:val="20"/>
                <w:color w:val="auto"/>
              </w:rPr>
            </w:pPr>
            <w:r>
              <w:rPr>
                <w:rFonts w:ascii="Arial" w:cs="Arial" w:eastAsia="Arial" w:hAnsi="Arial"/>
                <w:sz w:val="18"/>
                <w:szCs w:val="18"/>
                <w:b w:val="1"/>
                <w:bCs w:val="1"/>
                <w:color w:val="auto"/>
              </w:rPr>
              <w:t>(609) 716-4000</w:t>
            </w:r>
          </w:p>
        </w:tc>
      </w:tr>
    </w:tbl>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177800</wp:posOffset>
            </wp:positionV>
            <wp:extent cx="32156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156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both"/>
        <w:ind w:right="220" w:firstLine="648"/>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5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 o No</w:t>
      </w:r>
    </w:p>
    <w:p>
      <w:pPr>
        <w:spacing w:after="0" w:line="239" w:lineRule="exact"/>
        <w:rPr>
          <w:sz w:val="24"/>
          <w:szCs w:val="24"/>
          <w:color w:val="auto"/>
        </w:rPr>
      </w:pPr>
    </w:p>
    <w:p>
      <w:pPr>
        <w:jc w:val="both"/>
        <w:ind w:right="240" w:firstLine="648"/>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105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 o No</w:t>
      </w:r>
    </w:p>
    <w:p>
      <w:pPr>
        <w:spacing w:after="0" w:line="239" w:lineRule="exact"/>
        <w:rPr>
          <w:sz w:val="24"/>
          <w:szCs w:val="24"/>
          <w:color w:val="auto"/>
        </w:rPr>
      </w:pPr>
    </w:p>
    <w:p>
      <w:pPr>
        <w:ind w:right="80"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229" w:right="239" w:bottom="451" w:gutter="0" w:footer="0" w:header="0"/>
        </w:sectPr>
      </w:pPr>
    </w:p>
    <w:p>
      <w:pPr>
        <w:spacing w:after="0" w:line="127" w:lineRule="exact"/>
        <w:rPr>
          <w:sz w:val="24"/>
          <w:szCs w:val="24"/>
          <w:color w:val="auto"/>
        </w:rPr>
      </w:pPr>
    </w:p>
    <w:p>
      <w:pPr>
        <w:ind w:left="25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86" w:lineRule="exact"/>
        <w:rPr>
          <w:sz w:val="24"/>
          <w:szCs w:val="24"/>
          <w:color w:val="auto"/>
        </w:rPr>
      </w:pPr>
    </w:p>
    <w:p>
      <w:pPr>
        <w:sectPr>
          <w:pgSz w:w="11900" w:h="16838" w:orient="portrait"/>
          <w:cols w:equalWidth="0" w:num="2">
            <w:col w:w="7660" w:space="720"/>
            <w:col w:w="3040"/>
          </w:cols>
          <w:pgMar w:left="240" w:top="229" w:right="239" w:bottom="451" w:gutter="0" w:footer="0" w:header="0"/>
          <w:type w:val="continuous"/>
        </w:sectPr>
      </w:pPr>
    </w:p>
    <w:p>
      <w:pPr>
        <w:ind w:left="262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86" w:lineRule="exact"/>
        <w:rPr>
          <w:sz w:val="24"/>
          <w:szCs w:val="24"/>
          <w:color w:val="auto"/>
        </w:rPr>
      </w:pPr>
    </w:p>
    <w:p>
      <w:pPr>
        <w:sectPr>
          <w:pgSz w:w="11900" w:h="16838" w:orient="portrait"/>
          <w:cols w:equalWidth="0" w:num="2">
            <w:col w:w="7280" w:space="720"/>
            <w:col w:w="3420"/>
          </w:cols>
          <w:pgMar w:left="240" w:top="229" w:right="239" w:bottom="451" w:gutter="0" w:footer="0" w:header="0"/>
          <w:type w:val="continuous"/>
        </w:sectPr>
      </w:pPr>
    </w:p>
    <w:p>
      <w:pPr>
        <w:ind w:left="11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Emerging Growth Company o</w:t>
      </w:r>
    </w:p>
    <w:p>
      <w:pPr>
        <w:spacing w:after="0" w:line="200" w:lineRule="exact"/>
        <w:rPr>
          <w:sz w:val="24"/>
          <w:szCs w:val="24"/>
          <w:color w:val="auto"/>
        </w:rPr>
      </w:pPr>
    </w:p>
    <w:p>
      <w:pPr>
        <w:sectPr>
          <w:pgSz w:w="11900" w:h="16838" w:orient="portrait"/>
          <w:cols w:equalWidth="0" w:num="2">
            <w:col w:w="7240" w:space="720"/>
            <w:col w:w="3460"/>
          </w:cols>
          <w:pgMar w:left="240" w:top="229" w:right="239" w:bottom="451" w:gutter="0" w:footer="0" w:header="0"/>
          <w:type w:val="continuous"/>
        </w:sectPr>
      </w:pPr>
    </w:p>
    <w:p>
      <w:pPr>
        <w:spacing w:after="0" w:line="75" w:lineRule="exact"/>
        <w:rPr>
          <w:sz w:val="24"/>
          <w:szCs w:val="24"/>
          <w:color w:val="auto"/>
        </w:rPr>
      </w:pPr>
    </w:p>
    <w:p>
      <w:pPr>
        <w:ind w:right="40" w:firstLine="648"/>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jc w:val="right"/>
        <w:spacing w:after="0" w:line="207" w:lineRule="exact"/>
        <w:rPr>
          <w:sz w:val="20"/>
          <w:szCs w:val="20"/>
          <w:color w:val="auto"/>
        </w:rPr>
      </w:pPr>
      <w:r>
        <w:rPr>
          <w:rFonts w:ascii="Arial" w:cs="Arial" w:eastAsia="Arial" w:hAnsi="Arial"/>
          <w:sz w:val="18"/>
          <w:szCs w:val="18"/>
          <w:color w:val="auto"/>
        </w:rPr>
        <w:t xml:space="preserve">o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6"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May 2, 2017, the registrant had 28,488,288 shares of common stock outstanding and 771,119 shares of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451"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PAGE</w:t>
            </w:r>
          </w:p>
        </w:tc>
      </w:tr>
      <w:tr>
        <w:trPr>
          <w:trHeight w:val="189"/>
        </w:trPr>
        <w:tc>
          <w:tcPr>
            <w:tcW w:w="10700" w:type="dxa"/>
            <w:vAlign w:val="bottom"/>
            <w:gridSpan w:val="24"/>
          </w:tcPr>
          <w:p>
            <w:pPr>
              <w:spacing w:after="0" w:line="189" w:lineRule="exact"/>
              <w:rPr>
                <w:rFonts w:ascii="Arial" w:cs="Arial" w:eastAsia="Arial" w:hAnsi="Arial"/>
                <w:sz w:val="18"/>
                <w:szCs w:val="18"/>
                <w:color w:val="0000EE"/>
              </w:rPr>
            </w:pPr>
            <w:hyperlink w:anchor="page3">
              <w:r>
                <w:rPr>
                  <w:rFonts w:ascii="Arial" w:cs="Arial" w:eastAsia="Arial" w:hAnsi="Arial"/>
                  <w:sz w:val="18"/>
                  <w:szCs w:val="18"/>
                  <w:color w:val="0000EE"/>
                </w:rPr>
                <w:t>PART I—FINANCIAL INFORMATION</w:t>
              </w:r>
            </w:hyperlink>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10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1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as of March 31, 2017 (unaudited) and December 31, 2016</w:t>
              </w:r>
            </w:hyperlink>
          </w:p>
        </w:tc>
        <w:tc>
          <w:tcPr>
            <w:tcW w:w="1940" w:type="dxa"/>
            <w:vAlign w:val="bottom"/>
            <w:gridSpan w:val="4"/>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20" w:type="dxa"/>
            <w:vAlign w:val="bottom"/>
          </w:tcPr>
          <w:p>
            <w:pPr>
              <w:spacing w:after="0"/>
              <w:rPr>
                <w:sz w:val="24"/>
                <w:szCs w:val="24"/>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18"/>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Unaudited Condensed Consolidated Statements of Income for the three months ended March 31, 2017 and March 31, 2016</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60" w:type="dxa"/>
            <w:vAlign w:val="bottom"/>
            <w:tcBorders>
              <w:top w:val="single" w:sz="8" w:color="0000EE"/>
            </w:tcBorders>
            <w:gridSpan w:val="1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Consolidated Statements of Comprehensive Income for the three months ended March 31, 2017 and</w:t>
              </w:r>
            </w:hyperlink>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March 31, 2016</w:t>
              </w:r>
            </w:hyperlink>
          </w:p>
        </w:tc>
        <w:tc>
          <w:tcPr>
            <w:tcW w:w="260" w:type="dxa"/>
            <w:vAlign w:val="bottom"/>
            <w:gridSpan w:val="2"/>
          </w:tcPr>
          <w:p>
            <w:pPr>
              <w:spacing w:after="0"/>
              <w:rPr>
                <w:sz w:val="17"/>
                <w:szCs w:val="17"/>
                <w:color w:val="auto"/>
              </w:rPr>
            </w:pPr>
          </w:p>
        </w:tc>
        <w:tc>
          <w:tcPr>
            <w:tcW w:w="680" w:type="dxa"/>
            <w:vAlign w:val="bottom"/>
            <w:gridSpan w:val="4"/>
          </w:tcPr>
          <w:p>
            <w:pPr>
              <w:jc w:val="right"/>
              <w:ind w:right="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18"/>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Unaudited Condensed Consolidated Statements of Cash Flows for the three months ended March 31, 2017 and March 31,</w:t>
              </w:r>
            </w:hyperlink>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2016</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20" w:type="dxa"/>
            <w:vAlign w:val="bottom"/>
          </w:tcPr>
          <w:p>
            <w:pPr>
              <w:spacing w:after="0"/>
              <w:rPr>
                <w:sz w:val="17"/>
                <w:szCs w:val="17"/>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Condensed Consolidated Financial Statements</w:t>
              </w:r>
            </w:hyperlink>
          </w:p>
        </w:tc>
        <w:tc>
          <w:tcPr>
            <w:tcW w:w="4300" w:type="dxa"/>
            <w:vAlign w:val="bottom"/>
            <w:gridSpan w:val="6"/>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21">
              <w:r>
                <w:rPr>
                  <w:rFonts w:ascii="Arial" w:cs="Arial" w:eastAsia="Arial" w:hAnsi="Arial"/>
                  <w:sz w:val="18"/>
                  <w:szCs w:val="18"/>
                  <w:color w:val="0000EE"/>
                  <w:w w:val="98"/>
                </w:rPr>
                <w:t>ITEM 2.</w:t>
              </w:r>
            </w:hyperlink>
          </w:p>
        </w:tc>
        <w:tc>
          <w:tcPr>
            <w:tcW w:w="500" w:type="dxa"/>
            <w:vAlign w:val="bottom"/>
            <w:gridSpan w:val="2"/>
          </w:tcPr>
          <w:p>
            <w:pPr>
              <w:spacing w:after="0"/>
              <w:rPr>
                <w:sz w:val="24"/>
                <w:szCs w:val="24"/>
                <w:color w:val="auto"/>
              </w:rPr>
            </w:pPr>
          </w:p>
        </w:tc>
        <w:tc>
          <w:tcPr>
            <w:tcW w:w="9100" w:type="dxa"/>
            <w:vAlign w:val="bottom"/>
            <w:gridSpan w:val="18"/>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21">
              <w:r>
                <w:rPr>
                  <w:rFonts w:ascii="Arial" w:cs="Arial" w:eastAsia="Arial" w:hAnsi="Arial"/>
                  <w:sz w:val="18"/>
                  <w:szCs w:val="18"/>
                  <w:color w:val="0000EE"/>
                </w:rPr>
                <w:t>19</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560" w:type="dxa"/>
            <w:vAlign w:val="bottom"/>
            <w:gridSpan w:val="2"/>
          </w:tcPr>
          <w:p>
            <w:pPr>
              <w:spacing w:after="0"/>
              <w:rPr>
                <w:rFonts w:ascii="Arial" w:cs="Arial" w:eastAsia="Arial" w:hAnsi="Arial"/>
                <w:sz w:val="18"/>
                <w:szCs w:val="18"/>
                <w:color w:val="0000EE"/>
                <w:w w:val="82"/>
              </w:rPr>
            </w:pPr>
            <w:hyperlink w:anchor="page27">
              <w:r>
                <w:rPr>
                  <w:rFonts w:ascii="Arial" w:cs="Arial" w:eastAsia="Arial" w:hAnsi="Arial"/>
                  <w:sz w:val="18"/>
                  <w:szCs w:val="18"/>
                  <w:color w:val="0000EE"/>
                  <w:w w:val="82"/>
                </w:rPr>
                <w:t>ITEM 3.</w:t>
              </w:r>
            </w:hyperlink>
          </w:p>
        </w:tc>
        <w:tc>
          <w:tcPr>
            <w:tcW w:w="8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c>
          <w:tcPr>
            <w:tcW w:w="4320" w:type="dxa"/>
            <w:vAlign w:val="bottom"/>
            <w:gridSpan w:val="10"/>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Quantitative and Qualitative Disclosures about Market Risk</w:t>
              </w:r>
            </w:hyperlink>
          </w:p>
        </w:tc>
        <w:tc>
          <w:tcPr>
            <w:tcW w:w="2140" w:type="dxa"/>
            <w:vAlign w:val="bottom"/>
            <w:gridSpan w:val="3"/>
          </w:tcPr>
          <w:p>
            <w:pPr>
              <w:spacing w:after="0"/>
              <w:rPr>
                <w:sz w:val="24"/>
                <w:szCs w:val="24"/>
                <w:color w:val="auto"/>
              </w:rPr>
            </w:pPr>
          </w:p>
        </w:tc>
        <w:tc>
          <w:tcPr>
            <w:tcW w:w="2640" w:type="dxa"/>
            <w:vAlign w:val="bottom"/>
            <w:gridSpan w:val="5"/>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560" w:type="dxa"/>
            <w:vAlign w:val="bottom"/>
            <w:gridSpan w:val="2"/>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ITEM 4</w:t>
              </w:r>
            </w:hyperlink>
          </w:p>
        </w:tc>
        <w:tc>
          <w:tcPr>
            <w:tcW w:w="580" w:type="dxa"/>
            <w:vAlign w:val="bottom"/>
            <w:gridSpan w:val="3"/>
          </w:tcPr>
          <w:p>
            <w:pPr>
              <w:spacing w:after="0"/>
              <w:rPr>
                <w:sz w:val="24"/>
                <w:szCs w:val="24"/>
                <w:color w:val="auto"/>
              </w:rPr>
            </w:pPr>
          </w:p>
        </w:tc>
        <w:tc>
          <w:tcPr>
            <w:tcW w:w="4320" w:type="dxa"/>
            <w:vAlign w:val="bottom"/>
            <w:gridSpan w:val="1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4780" w:type="dxa"/>
            <w:vAlign w:val="bottom"/>
            <w:gridSpan w:val="8"/>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r>
      <w:tr>
        <w:trPr>
          <w:trHeight w:val="20"/>
        </w:trPr>
        <w:tc>
          <w:tcPr>
            <w:tcW w:w="48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266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28">
              <w:r>
                <w:rPr>
                  <w:rFonts w:ascii="Arial" w:cs="Arial" w:eastAsia="Arial" w:hAnsi="Arial"/>
                  <w:sz w:val="18"/>
                  <w:szCs w:val="18"/>
                  <w:color w:val="0000EE"/>
                  <w:w w:val="95"/>
                </w:rPr>
                <w:t>PART II—OTHER INFORMATION</w:t>
              </w:r>
            </w:hyperlink>
          </w:p>
        </w:tc>
        <w:tc>
          <w:tcPr>
            <w:tcW w:w="8040" w:type="dxa"/>
            <w:vAlign w:val="bottom"/>
            <w:gridSpan w:val="14"/>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28">
              <w:r>
                <w:rPr>
                  <w:rFonts w:ascii="Arial" w:cs="Arial" w:eastAsia="Arial" w:hAnsi="Arial"/>
                  <w:sz w:val="18"/>
                  <w:szCs w:val="18"/>
                  <w:color w:val="0000EE"/>
                  <w:w w:val="98"/>
                </w:rPr>
                <w:t>ITEM 1.</w:t>
              </w:r>
            </w:hyperlink>
          </w:p>
        </w:tc>
        <w:tc>
          <w:tcPr>
            <w:tcW w:w="500" w:type="dxa"/>
            <w:vAlign w:val="bottom"/>
            <w:gridSpan w:val="2"/>
          </w:tcPr>
          <w:p>
            <w:pPr>
              <w:spacing w:after="0"/>
              <w:rPr>
                <w:sz w:val="24"/>
                <w:szCs w:val="24"/>
                <w:color w:val="auto"/>
              </w:rPr>
            </w:pPr>
          </w:p>
        </w:tc>
        <w:tc>
          <w:tcPr>
            <w:tcW w:w="1320" w:type="dxa"/>
            <w:vAlign w:val="bottom"/>
            <w:gridSpan w:val="6"/>
          </w:tcPr>
          <w:p>
            <w:pPr>
              <w:spacing w:after="0"/>
              <w:rPr>
                <w:rFonts w:ascii="Arial" w:cs="Arial" w:eastAsia="Arial" w:hAnsi="Arial"/>
                <w:sz w:val="18"/>
                <w:szCs w:val="18"/>
                <w:color w:val="0000EE"/>
                <w:w w:val="85"/>
              </w:rPr>
            </w:pPr>
            <w:hyperlink w:anchor="page28">
              <w:r>
                <w:rPr>
                  <w:rFonts w:ascii="Arial" w:cs="Arial" w:eastAsia="Arial" w:hAnsi="Arial"/>
                  <w:sz w:val="18"/>
                  <w:szCs w:val="18"/>
                  <w:color w:val="0000EE"/>
                  <w:w w:val="85"/>
                </w:rPr>
                <w:t>Legal Proceedings</w:t>
              </w:r>
            </w:hyperlink>
          </w:p>
        </w:tc>
        <w:tc>
          <w:tcPr>
            <w:tcW w:w="7780" w:type="dxa"/>
            <w:vAlign w:val="bottom"/>
            <w:gridSpan w:val="12"/>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1.A.</w:t>
              </w:r>
            </w:hyperlink>
          </w:p>
        </w:tc>
        <w:tc>
          <w:tcPr>
            <w:tcW w:w="910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r>
      <w:tr>
        <w:trPr>
          <w:trHeight w:val="20"/>
        </w:trPr>
        <w:tc>
          <w:tcPr>
            <w:tcW w:w="46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28">
              <w:r>
                <w:rPr>
                  <w:rFonts w:ascii="Arial" w:cs="Arial" w:eastAsia="Arial" w:hAnsi="Arial"/>
                  <w:sz w:val="18"/>
                  <w:szCs w:val="18"/>
                  <w:color w:val="0000EE"/>
                  <w:w w:val="98"/>
                </w:rPr>
                <w:t>ITEM 2.</w:t>
              </w:r>
            </w:hyperlink>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60" w:type="dxa"/>
            <w:vAlign w:val="bottom"/>
            <w:gridSpan w:val="11"/>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Unregistered Sales of Equity Securities and Use of Proceeds</w:t>
              </w:r>
            </w:hyperlink>
          </w:p>
        </w:tc>
        <w:tc>
          <w:tcPr>
            <w:tcW w:w="4740" w:type="dxa"/>
            <w:vAlign w:val="bottom"/>
            <w:gridSpan w:val="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28">
              <w:r>
                <w:rPr>
                  <w:rFonts w:ascii="Arial" w:cs="Arial" w:eastAsia="Arial" w:hAnsi="Arial"/>
                  <w:sz w:val="18"/>
                  <w:szCs w:val="18"/>
                  <w:color w:val="0000EE"/>
                  <w:w w:val="98"/>
                </w:rPr>
                <w:t>ITEM 3.</w:t>
              </w:r>
            </w:hyperlink>
          </w:p>
        </w:tc>
        <w:tc>
          <w:tcPr>
            <w:tcW w:w="500" w:type="dxa"/>
            <w:vAlign w:val="bottom"/>
            <w:gridSpan w:val="2"/>
          </w:tcPr>
          <w:p>
            <w:pPr>
              <w:spacing w:after="0"/>
              <w:rPr>
                <w:sz w:val="24"/>
                <w:szCs w:val="24"/>
                <w:color w:val="auto"/>
              </w:rPr>
            </w:pPr>
          </w:p>
        </w:tc>
        <w:tc>
          <w:tcPr>
            <w:tcW w:w="4360" w:type="dxa"/>
            <w:vAlign w:val="bottom"/>
            <w:gridSpan w:val="1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Defaults Upon Senior Securities</w:t>
              </w:r>
            </w:hyperlink>
          </w:p>
        </w:tc>
        <w:tc>
          <w:tcPr>
            <w:tcW w:w="4740" w:type="dxa"/>
            <w:vAlign w:val="bottom"/>
            <w:gridSpan w:val="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678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28">
              <w:r>
                <w:rPr>
                  <w:rFonts w:ascii="Arial" w:cs="Arial" w:eastAsia="Arial" w:hAnsi="Arial"/>
                  <w:sz w:val="18"/>
                  <w:szCs w:val="18"/>
                  <w:color w:val="0000EE"/>
                  <w:w w:val="98"/>
                </w:rPr>
                <w:t>ITEM 4.</w:t>
              </w:r>
            </w:hyperlink>
          </w:p>
        </w:tc>
        <w:tc>
          <w:tcPr>
            <w:tcW w:w="500" w:type="dxa"/>
            <w:vAlign w:val="bottom"/>
            <w:gridSpan w:val="2"/>
          </w:tcPr>
          <w:p>
            <w:pPr>
              <w:spacing w:after="0"/>
              <w:rPr>
                <w:sz w:val="24"/>
                <w:szCs w:val="24"/>
                <w:color w:val="auto"/>
              </w:rPr>
            </w:pPr>
          </w:p>
        </w:tc>
        <w:tc>
          <w:tcPr>
            <w:tcW w:w="1780" w:type="dxa"/>
            <w:vAlign w:val="bottom"/>
            <w:gridSpan w:val="8"/>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Mine Safety Disclosures</w:t>
              </w:r>
            </w:hyperlink>
          </w:p>
        </w:tc>
        <w:tc>
          <w:tcPr>
            <w:tcW w:w="540" w:type="dxa"/>
            <w:vAlign w:val="bottom"/>
          </w:tcPr>
          <w:p>
            <w:pPr>
              <w:spacing w:after="0"/>
              <w:rPr>
                <w:sz w:val="24"/>
                <w:szCs w:val="24"/>
                <w:color w:val="auto"/>
              </w:rPr>
            </w:pPr>
          </w:p>
        </w:tc>
        <w:tc>
          <w:tcPr>
            <w:tcW w:w="6780" w:type="dxa"/>
            <w:vAlign w:val="bottom"/>
            <w:gridSpan w:val="9"/>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732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28">
              <w:r>
                <w:rPr>
                  <w:rFonts w:ascii="Arial" w:cs="Arial" w:eastAsia="Arial" w:hAnsi="Arial"/>
                  <w:sz w:val="18"/>
                  <w:szCs w:val="18"/>
                  <w:color w:val="0000EE"/>
                  <w:w w:val="98"/>
                </w:rPr>
                <w:t>ITEM 5.</w:t>
              </w:r>
            </w:hyperlink>
          </w:p>
        </w:tc>
        <w:tc>
          <w:tcPr>
            <w:tcW w:w="500" w:type="dxa"/>
            <w:vAlign w:val="bottom"/>
            <w:gridSpan w:val="2"/>
          </w:tcPr>
          <w:p>
            <w:pPr>
              <w:spacing w:after="0"/>
              <w:rPr>
                <w:sz w:val="24"/>
                <w:szCs w:val="24"/>
                <w:color w:val="auto"/>
              </w:rPr>
            </w:pPr>
          </w:p>
        </w:tc>
        <w:tc>
          <w:tcPr>
            <w:tcW w:w="1320" w:type="dxa"/>
            <w:vAlign w:val="bottom"/>
            <w:gridSpan w:val="6"/>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Other Information</w:t>
              </w:r>
            </w:hyperlink>
          </w:p>
        </w:tc>
        <w:tc>
          <w:tcPr>
            <w:tcW w:w="460" w:type="dxa"/>
            <w:vAlign w:val="bottom"/>
            <w:gridSpan w:val="2"/>
          </w:tcPr>
          <w:p>
            <w:pPr>
              <w:spacing w:after="0"/>
              <w:rPr>
                <w:sz w:val="24"/>
                <w:szCs w:val="24"/>
                <w:color w:val="auto"/>
              </w:rPr>
            </w:pPr>
          </w:p>
        </w:tc>
        <w:tc>
          <w:tcPr>
            <w:tcW w:w="7320" w:type="dxa"/>
            <w:vAlign w:val="bottom"/>
            <w:gridSpan w:val="10"/>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7780" w:type="dxa"/>
            <w:vAlign w:val="bottom"/>
            <w:gridSpan w:val="1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29">
              <w:r>
                <w:rPr>
                  <w:rFonts w:ascii="Arial" w:cs="Arial" w:eastAsia="Arial" w:hAnsi="Arial"/>
                  <w:sz w:val="18"/>
                  <w:szCs w:val="18"/>
                  <w:color w:val="0000EE"/>
                  <w:w w:val="98"/>
                </w:rPr>
                <w:t>ITEM 6.</w:t>
              </w:r>
            </w:hyperlink>
          </w:p>
        </w:tc>
        <w:tc>
          <w:tcPr>
            <w:tcW w:w="500" w:type="dxa"/>
            <w:vAlign w:val="bottom"/>
            <w:gridSpan w:val="2"/>
          </w:tcPr>
          <w:p>
            <w:pPr>
              <w:spacing w:after="0"/>
              <w:rPr>
                <w:sz w:val="24"/>
                <w:szCs w:val="24"/>
                <w:color w:val="auto"/>
              </w:rPr>
            </w:pPr>
          </w:p>
        </w:tc>
        <w:tc>
          <w:tcPr>
            <w:tcW w:w="1320" w:type="dxa"/>
            <w:vAlign w:val="bottom"/>
            <w:gridSpan w:val="6"/>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7780" w:type="dxa"/>
            <w:vAlign w:val="bottom"/>
            <w:gridSpan w:val="12"/>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27</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100" w:type="dxa"/>
            <w:vAlign w:val="bottom"/>
            <w:gridSpan w:val="4"/>
          </w:tcPr>
          <w:p>
            <w:pPr>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SIGNATURES</w:t>
              </w:r>
            </w:hyperlink>
          </w:p>
        </w:tc>
        <w:tc>
          <w:tcPr>
            <w:tcW w:w="50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7100" w:type="dxa"/>
            <w:vAlign w:val="bottom"/>
          </w:tcPr>
          <w:p>
            <w:pPr>
              <w:jc w:val="center"/>
              <w:ind w:left="2210"/>
              <w:spacing w:after="0"/>
              <w:rPr>
                <w:sz w:val="20"/>
                <w:szCs w:val="20"/>
                <w:color w:val="auto"/>
              </w:rPr>
            </w:pPr>
            <w:r>
              <w:rPr>
                <w:rFonts w:ascii="Arial" w:cs="Arial" w:eastAsia="Arial" w:hAnsi="Arial"/>
                <w:sz w:val="18"/>
                <w:szCs w:val="18"/>
                <w:b w:val="1"/>
                <w:bCs w:val="1"/>
                <w:color w:val="auto"/>
              </w:rPr>
              <w:t>PART I—FINANCIAL INFORMATION</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0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887"/>
        </w:trPr>
        <w:tc>
          <w:tcPr>
            <w:tcW w:w="1020" w:type="dxa"/>
            <w:vAlign w:val="bottom"/>
          </w:tcPr>
          <w:p>
            <w:pPr>
              <w:spacing w:after="0"/>
              <w:rPr>
                <w:sz w:val="24"/>
                <w:szCs w:val="24"/>
                <w:color w:val="auto"/>
              </w:rPr>
            </w:pPr>
          </w:p>
        </w:tc>
        <w:tc>
          <w:tcPr>
            <w:tcW w:w="7100" w:type="dxa"/>
            <w:vAlign w:val="bottom"/>
          </w:tcPr>
          <w:p>
            <w:pPr>
              <w:jc w:val="center"/>
              <w:ind w:left="2210"/>
              <w:spacing w:after="0"/>
              <w:rPr>
                <w:sz w:val="20"/>
                <w:szCs w:val="20"/>
                <w:color w:val="auto"/>
              </w:rPr>
            </w:pPr>
            <w:r>
              <w:rPr>
                <w:rFonts w:ascii="Arial" w:cs="Arial" w:eastAsia="Arial" w:hAnsi="Arial"/>
                <w:sz w:val="18"/>
                <w:szCs w:val="18"/>
                <w:b w:val="1"/>
                <w:bCs w:val="1"/>
                <w:color w:val="auto"/>
                <w:w w:val="90"/>
              </w:rPr>
              <w:t>Mistras Group, Inc. and Subsidiaries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100" w:type="dxa"/>
            <w:vAlign w:val="bottom"/>
          </w:tcPr>
          <w:p>
            <w:pPr>
              <w:jc w:val="center"/>
              <w:ind w:left="219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7100" w:type="dxa"/>
            <w:vAlign w:val="bottom"/>
          </w:tcPr>
          <w:p>
            <w:pPr>
              <w:jc w:val="center"/>
              <w:ind w:left="219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99"/>
        </w:trPr>
        <w:tc>
          <w:tcPr>
            <w:tcW w:w="10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250"/>
        </w:trPr>
        <w:tc>
          <w:tcPr>
            <w:tcW w:w="1020" w:type="dxa"/>
            <w:vAlign w:val="bottom"/>
          </w:tcPr>
          <w:p>
            <w:pPr>
              <w:spacing w:after="0"/>
              <w:rPr>
                <w:sz w:val="21"/>
                <w:szCs w:val="21"/>
                <w:color w:val="auto"/>
              </w:rPr>
            </w:pPr>
          </w:p>
        </w:tc>
        <w:tc>
          <w:tcPr>
            <w:tcW w:w="7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March 31, 2017</w:t>
            </w:r>
          </w:p>
        </w:tc>
        <w:tc>
          <w:tcPr>
            <w:tcW w:w="180" w:type="dxa"/>
            <w:vAlign w:val="bottom"/>
          </w:tcPr>
          <w:p>
            <w:pPr>
              <w:spacing w:after="0"/>
              <w:rPr>
                <w:sz w:val="21"/>
                <w:szCs w:val="21"/>
                <w:color w:val="auto"/>
              </w:rPr>
            </w:pP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31, 2016</w:t>
            </w:r>
          </w:p>
        </w:tc>
      </w:tr>
      <w:tr>
        <w:trPr>
          <w:trHeight w:val="236"/>
        </w:trPr>
        <w:tc>
          <w:tcPr>
            <w:tcW w:w="1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7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19,154</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124,221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130,852</w:t>
            </w: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Inventories</w:t>
            </w:r>
          </w:p>
        </w:tc>
        <w:tc>
          <w:tcPr>
            <w:tcW w:w="7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10,017</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6,230</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14,772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16,399</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177,174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182,652</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72,898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73,149</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41,226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40,007</w:t>
            </w: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7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173,907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169,940</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1,897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1,086</w:t>
            </w: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Other assets</w:t>
            </w:r>
          </w:p>
        </w:tc>
        <w:tc>
          <w:tcPr>
            <w:tcW w:w="7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2,593</w:t>
            </w:r>
          </w:p>
        </w:tc>
      </w:tr>
      <w:tr>
        <w:trPr>
          <w:trHeight w:val="297"/>
        </w:trPr>
        <w:tc>
          <w:tcPr>
            <w:tcW w:w="812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469,730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469,427</w:t>
            </w:r>
          </w:p>
        </w:tc>
      </w:tr>
      <w:tr>
        <w:trPr>
          <w:trHeight w:val="210"/>
        </w:trPr>
        <w:tc>
          <w:tcPr>
            <w:tcW w:w="812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LIABILITIES AND EQUITY</w:t>
            </w: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6,805</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53,637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58,697</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1,379</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Current portion of capital lease obligations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6,357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6,488</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4,342</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74,764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77,711</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96,042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85,917</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Obligations under capital leases, net of current portion</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8,861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9,682</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17,584</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8,180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7,789</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199,871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198,683</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7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Preferred stock, 10,000,000 shares authorized</w:t>
            </w: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2"/>
              </w:rPr>
              <w:t>Common stock, $0.01 par value, 200,000,000 shares authorized, 29,257,763 and 29,216,745 shares issued</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219,176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217,211</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Treasury stock, at cost, 676,512 and 420,258 shares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93,496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91,803</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(29,724)</w:t>
            </w:r>
          </w:p>
        </w:tc>
      </w:tr>
      <w:tr>
        <w:trPr>
          <w:trHeight w:val="237"/>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Total Mistras Group, Inc. stockholders’ equity</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269,691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270,582</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Total equity</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269,859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270,744</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 and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469,730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469,427</w:t>
            </w:r>
          </w:p>
        </w:tc>
      </w:tr>
      <w:tr>
        <w:trPr>
          <w:trHeight w:val="20"/>
        </w:trPr>
        <w:tc>
          <w:tcPr>
            <w:tcW w:w="10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7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8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2017</w:t>
            </w:r>
          </w:p>
        </w:tc>
        <w:tc>
          <w:tcPr>
            <w:tcW w:w="220" w:type="dxa"/>
            <w:vAlign w:val="bottom"/>
          </w:tcPr>
          <w:p>
            <w:pPr>
              <w:spacing w:after="0"/>
              <w:rPr>
                <w:sz w:val="22"/>
                <w:szCs w:val="22"/>
                <w:color w:val="auto"/>
              </w:rPr>
            </w:pPr>
          </w:p>
        </w:tc>
        <w:tc>
          <w:tcPr>
            <w:tcW w:w="1380" w:type="dxa"/>
            <w:vAlign w:val="bottom"/>
          </w:tcPr>
          <w:p>
            <w:pPr>
              <w:jc w:val="right"/>
              <w:ind w:right="231"/>
              <w:spacing w:after="0"/>
              <w:rPr>
                <w:sz w:val="20"/>
                <w:szCs w:val="20"/>
                <w:color w:val="auto"/>
              </w:rPr>
            </w:pPr>
            <w:r>
              <w:rPr>
                <w:rFonts w:ascii="Arial" w:cs="Arial" w:eastAsia="Arial" w:hAnsi="Arial"/>
                <w:sz w:val="14"/>
                <w:szCs w:val="14"/>
                <w:b w:val="1"/>
                <w:bCs w:val="1"/>
                <w:color w:val="auto"/>
              </w:rPr>
              <w:t>March 31, 2016</w:t>
            </w:r>
          </w:p>
        </w:tc>
        <w:tc>
          <w:tcPr>
            <w:tcW w:w="0" w:type="dxa"/>
            <w:vAlign w:val="bottom"/>
          </w:tcPr>
          <w:p>
            <w:pPr>
              <w:spacing w:after="0"/>
              <w:rPr>
                <w:sz w:val="1"/>
                <w:szCs w:val="1"/>
                <w:color w:val="auto"/>
              </w:rPr>
            </w:pPr>
          </w:p>
        </w:tc>
      </w:tr>
      <w:tr>
        <w:trPr>
          <w:trHeight w:val="256"/>
        </w:trPr>
        <w:tc>
          <w:tcPr>
            <w:tcW w:w="80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163,318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167,455</w:t>
            </w:r>
          </w:p>
        </w:tc>
        <w:tc>
          <w:tcPr>
            <w:tcW w:w="0" w:type="dxa"/>
            <w:vAlign w:val="bottom"/>
          </w:tcPr>
          <w:p>
            <w:pPr>
              <w:spacing w:after="0"/>
              <w:rPr>
                <w:sz w:val="1"/>
                <w:szCs w:val="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115,002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118,230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5,163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5,255</w:t>
            </w:r>
          </w:p>
        </w:tc>
        <w:tc>
          <w:tcPr>
            <w:tcW w:w="0" w:type="dxa"/>
            <w:vAlign w:val="bottom"/>
          </w:tcPr>
          <w:p>
            <w:pPr>
              <w:spacing w:after="0"/>
              <w:rPr>
                <w:sz w:val="1"/>
                <w:szCs w:val="1"/>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43,153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43,970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35,053</w:t>
            </w:r>
          </w:p>
        </w:tc>
        <w:tc>
          <w:tcPr>
            <w:tcW w:w="0" w:type="dxa"/>
            <w:vAlign w:val="bottom"/>
          </w:tcPr>
          <w:p>
            <w:pPr>
              <w:spacing w:after="0"/>
              <w:rPr>
                <w:sz w:val="1"/>
                <w:szCs w:val="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Research and engineering</w:t>
            </w:r>
          </w:p>
        </w:tc>
        <w:tc>
          <w:tcPr>
            <w:tcW w:w="26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2,762</w:t>
            </w:r>
          </w:p>
        </w:tc>
        <w:tc>
          <w:tcPr>
            <w:tcW w:w="0" w:type="dxa"/>
            <w:vAlign w:val="bottom"/>
          </w:tcPr>
          <w:p>
            <w:pPr>
              <w:spacing w:after="0"/>
              <w:rPr>
                <w:sz w:val="1"/>
                <w:szCs w:val="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5,646</w:t>
            </w:r>
          </w:p>
        </w:tc>
        <w:tc>
          <w:tcPr>
            <w:tcW w:w="0" w:type="dxa"/>
            <w:vAlign w:val="bottom"/>
          </w:tcPr>
          <w:p>
            <w:pPr>
              <w:spacing w:after="0"/>
              <w:rPr>
                <w:sz w:val="1"/>
                <w:szCs w:val="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provision for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4,546</w:t>
            </w:r>
          </w:p>
        </w:tc>
        <w:tc>
          <w:tcPr>
            <w:tcW w:w="0" w:type="dxa"/>
            <w:vAlign w:val="bottom"/>
          </w:tcPr>
          <w:p>
            <w:pPr>
              <w:spacing w:after="0"/>
              <w:rPr>
                <w:sz w:val="1"/>
                <w:szCs w:val="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3,458</w:t>
            </w:r>
          </w:p>
        </w:tc>
        <w:tc>
          <w:tcPr>
            <w:tcW w:w="0" w:type="dxa"/>
            <w:vAlign w:val="bottom"/>
          </w:tcPr>
          <w:p>
            <w:pPr>
              <w:spacing w:after="0"/>
              <w:rPr>
                <w:sz w:val="1"/>
                <w:szCs w:val="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Less: net income attributable to noncontrolling interests, net of taxes</w:t>
            </w:r>
          </w:p>
        </w:tc>
        <w:tc>
          <w:tcPr>
            <w:tcW w:w="26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Mistras Group, Inc.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3,447</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Earnings per common share</w:t>
            </w: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28,687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28,915</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29,905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29,980</w:t>
            </w:r>
          </w:p>
        </w:tc>
        <w:tc>
          <w:tcPr>
            <w:tcW w:w="0" w:type="dxa"/>
            <w:vAlign w:val="bottom"/>
          </w:tcPr>
          <w:p>
            <w:pPr>
              <w:spacing w:after="0"/>
              <w:rPr>
                <w:sz w:val="1"/>
                <w:szCs w:val="1"/>
                <w:color w:val="auto"/>
              </w:rPr>
            </w:pPr>
          </w:p>
        </w:tc>
      </w:tr>
      <w:tr>
        <w:trPr>
          <w:trHeight w:val="27"/>
        </w:trPr>
        <w:tc>
          <w:tcPr>
            <w:tcW w:w="80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7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2017</w:t>
            </w:r>
          </w:p>
        </w:tc>
        <w:tc>
          <w:tcPr>
            <w:tcW w:w="220" w:type="dxa"/>
            <w:vAlign w:val="bottom"/>
          </w:tcPr>
          <w:p>
            <w:pPr>
              <w:spacing w:after="0"/>
              <w:rPr>
                <w:sz w:val="22"/>
                <w:szCs w:val="22"/>
                <w:color w:val="auto"/>
              </w:rPr>
            </w:pPr>
          </w:p>
        </w:tc>
        <w:tc>
          <w:tcPr>
            <w:tcW w:w="1380" w:type="dxa"/>
            <w:vAlign w:val="bottom"/>
          </w:tcPr>
          <w:p>
            <w:pPr>
              <w:jc w:val="right"/>
              <w:ind w:right="233"/>
              <w:spacing w:after="0"/>
              <w:rPr>
                <w:sz w:val="20"/>
                <w:szCs w:val="20"/>
                <w:color w:val="auto"/>
              </w:rPr>
            </w:pPr>
            <w:r>
              <w:rPr>
                <w:rFonts w:ascii="Arial" w:cs="Arial" w:eastAsia="Arial" w:hAnsi="Arial"/>
                <w:sz w:val="14"/>
                <w:szCs w:val="14"/>
                <w:b w:val="1"/>
                <w:bCs w:val="1"/>
                <w:color w:val="auto"/>
              </w:rPr>
              <w:t>March 31, 2016</w:t>
            </w:r>
          </w:p>
        </w:tc>
      </w:tr>
      <w:tr>
        <w:trPr>
          <w:trHeight w:val="162"/>
        </w:trPr>
        <w:tc>
          <w:tcPr>
            <w:tcW w:w="80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3,458</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2,387</w:t>
            </w: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3,148</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5,845</w:t>
            </w: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r>
      <w:tr>
        <w:trPr>
          <w:trHeight w:val="257"/>
        </w:trPr>
        <w:tc>
          <w:tcPr>
            <w:tcW w:w="8000" w:type="dxa"/>
            <w:vAlign w:val="bottom"/>
          </w:tcPr>
          <w:p>
            <w:pPr>
              <w:ind w:left="40"/>
              <w:spacing w:after="0"/>
              <w:rPr>
                <w:sz w:val="20"/>
                <w:szCs w:val="20"/>
                <w:color w:val="auto"/>
              </w:rPr>
            </w:pPr>
            <w:r>
              <w:rPr>
                <w:rFonts w:ascii="Arial" w:cs="Arial" w:eastAsia="Arial" w:hAnsi="Arial"/>
                <w:sz w:val="18"/>
                <w:szCs w:val="18"/>
                <w:color w:val="auto"/>
              </w:rPr>
              <w:t>Comprehensive income attributable to Mistras Group, Inc.</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3,142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5,836</w:t>
            </w:r>
          </w:p>
        </w:tc>
      </w:tr>
      <w:tr>
        <w:trPr>
          <w:trHeight w:val="20"/>
        </w:trPr>
        <w:tc>
          <w:tcPr>
            <w:tcW w:w="8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thousands)</w:t>
      </w:r>
    </w:p>
    <w:p>
      <w:pPr>
        <w:spacing w:after="0" w:line="148" w:lineRule="exact"/>
        <w:rPr>
          <w:sz w:val="20"/>
          <w:szCs w:val="20"/>
          <w:color w:val="auto"/>
        </w:rPr>
      </w:pPr>
    </w:p>
    <w:p>
      <w:pPr>
        <w:ind w:left="888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23495</wp:posOffset>
            </wp:positionV>
            <wp:extent cx="21266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103" w:lineRule="exact"/>
        <w:rPr>
          <w:sz w:val="20"/>
          <w:szCs w:val="20"/>
          <w:color w:val="auto"/>
        </w:rPr>
      </w:pPr>
    </w:p>
    <w:p>
      <w:pPr>
        <w:jc w:val="right"/>
        <w:ind w:right="320"/>
        <w:spacing w:after="0"/>
        <w:tabs>
          <w:tab w:leader="none" w:pos="940" w:val="left"/>
        </w:tabs>
        <w:rPr>
          <w:sz w:val="20"/>
          <w:szCs w:val="20"/>
          <w:color w:val="auto"/>
        </w:rPr>
      </w:pPr>
      <w:r>
        <w:rPr>
          <w:rFonts w:ascii="Arial" w:cs="Arial" w:eastAsia="Arial" w:hAnsi="Arial"/>
          <w:sz w:val="14"/>
          <w:szCs w:val="14"/>
          <w:b w:val="1"/>
          <w:bCs w:val="1"/>
          <w:color w:val="auto"/>
        </w:rPr>
        <w:t>March 31, 2017</w:t>
      </w:r>
      <w:r>
        <w:rPr>
          <w:sz w:val="20"/>
          <w:szCs w:val="20"/>
          <w:color w:val="auto"/>
        </w:rPr>
        <w:tab/>
      </w:r>
      <w:r>
        <w:rPr>
          <w:rFonts w:ascii="Arial" w:cs="Arial" w:eastAsia="Arial" w:hAnsi="Arial"/>
          <w:sz w:val="13"/>
          <w:szCs w:val="13"/>
          <w:b w:val="1"/>
          <w:bCs w:val="1"/>
          <w:color w:val="auto"/>
        </w:rPr>
        <w:t>March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083425" cy="197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3425" cy="197485"/>
                    </a:xfrm>
                    <a:prstGeom prst="rect">
                      <a:avLst/>
                    </a:prstGeom>
                    <a:noFill/>
                  </pic:spPr>
                </pic:pic>
              </a:graphicData>
            </a:graphic>
          </wp:anchor>
        </w:drawing>
      </w:r>
    </w:p>
    <w:p>
      <w:pPr>
        <w:sectPr>
          <w:pgSz w:w="11900" w:h="16838" w:orient="portrait"/>
          <w:cols w:equalWidth="0" w:num="1">
            <w:col w:w="11120"/>
          </w:cols>
          <w:pgMar w:left="240" w:top="121" w:right="539" w:bottom="1440" w:gutter="0" w:footer="0" w:header="0"/>
        </w:sectPr>
      </w:pP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77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7780" w:type="dxa"/>
            <w:vAlign w:val="bottom"/>
          </w:tcPr>
          <w:p>
            <w:pPr>
              <w:spacing w:after="0"/>
              <w:rPr>
                <w:sz w:val="20"/>
                <w:szCs w:val="20"/>
                <w:color w:val="auto"/>
              </w:rPr>
            </w:pPr>
            <w:r>
              <w:rPr>
                <w:rFonts w:ascii="Arial" w:cs="Arial" w:eastAsia="Arial" w:hAnsi="Arial"/>
                <w:sz w:val="18"/>
                <w:szCs w:val="18"/>
                <w:color w:val="auto"/>
              </w:rPr>
              <w:t>Net income</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5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7,665</w:t>
            </w: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Share-based compensation expense</w:t>
            </w:r>
          </w:p>
        </w:tc>
        <w:tc>
          <w:tcPr>
            <w:tcW w:w="5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Bad debt provision for a customer bankruptcy</w:t>
            </w:r>
          </w:p>
        </w:tc>
        <w:tc>
          <w:tcPr>
            <w:tcW w:w="5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Fair value adjustments to contingent consideration</w:t>
            </w: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5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5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6,161</w:t>
            </w: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Prepaid expenses and other assets</w:t>
            </w:r>
          </w:p>
        </w:tc>
        <w:tc>
          <w:tcPr>
            <w:tcW w:w="5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1,716</w:t>
            </w: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5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2,478</w:t>
            </w: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(7,053)</w:t>
            </w: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Income taxes payable</w:t>
            </w: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7"/>
        </w:trPr>
        <w:tc>
          <w:tcPr>
            <w:tcW w:w="7780" w:type="dxa"/>
            <w:vAlign w:val="bottom"/>
            <w:vMerge w:val="restart"/>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8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13,413</w:t>
            </w:r>
          </w:p>
        </w:tc>
        <w:tc>
          <w:tcPr>
            <w:tcW w:w="0" w:type="dxa"/>
            <w:vAlign w:val="bottom"/>
          </w:tcPr>
          <w:p>
            <w:pPr>
              <w:spacing w:after="0"/>
              <w:rPr>
                <w:sz w:val="1"/>
                <w:szCs w:val="1"/>
                <w:color w:val="auto"/>
              </w:rPr>
            </w:pPr>
          </w:p>
        </w:tc>
      </w:tr>
      <w:tr>
        <w:trPr>
          <w:trHeight w:val="270"/>
        </w:trPr>
        <w:tc>
          <w:tcPr>
            <w:tcW w:w="77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Purchase of property, plant and equipment</w:t>
            </w: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(3,416)</w:t>
            </w: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Purchase of intangible assets</w:t>
            </w: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Acquisition of businesses, net of cash acquired</w:t>
            </w: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Proceeds from sale of equipment</w:t>
            </w:r>
          </w:p>
        </w:tc>
        <w:tc>
          <w:tcPr>
            <w:tcW w:w="5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7780" w:type="dxa"/>
            <w:vAlign w:val="bottom"/>
            <w:vMerge w:val="restart"/>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8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(8,137)</w:t>
            </w:r>
          </w:p>
        </w:tc>
        <w:tc>
          <w:tcPr>
            <w:tcW w:w="0" w:type="dxa"/>
            <w:vAlign w:val="bottom"/>
          </w:tcPr>
          <w:p>
            <w:pPr>
              <w:spacing w:after="0"/>
              <w:rPr>
                <w:sz w:val="1"/>
                <w:szCs w:val="1"/>
                <w:color w:val="auto"/>
              </w:rPr>
            </w:pPr>
          </w:p>
        </w:tc>
      </w:tr>
      <w:tr>
        <w:trPr>
          <w:trHeight w:val="270"/>
        </w:trPr>
        <w:tc>
          <w:tcPr>
            <w:tcW w:w="77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Repayment of capital lease obligations</w:t>
            </w: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Proceeds from borrowings of long-term debt</w:t>
            </w:r>
          </w:p>
        </w:tc>
        <w:tc>
          <w:tcPr>
            <w:tcW w:w="5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Repayment of long-term debt</w:t>
            </w: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Proceeds from revolver</w:t>
            </w:r>
          </w:p>
        </w:tc>
        <w:tc>
          <w:tcPr>
            <w:tcW w:w="5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20,900</w:t>
            </w: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Repayment of revolver</w:t>
            </w: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(10,800)</w:t>
            </w: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Payment of contingent consideration for business acquisitions</w:t>
            </w: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Purchases of treasury stock</w:t>
            </w: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Taxes paid related to net share settlement of share-based awards</w:t>
            </w: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Excess tax benefit from share-based compensation</w:t>
            </w:r>
          </w:p>
        </w:tc>
        <w:tc>
          <w:tcPr>
            <w:tcW w:w="5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5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7780" w:type="dxa"/>
            <w:vAlign w:val="bottom"/>
            <w:vMerge w:val="restart"/>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8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2,853</w:t>
            </w: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Effect of exchange rate changes on cash and cash equivalents</w:t>
            </w:r>
          </w:p>
        </w:tc>
        <w:tc>
          <w:tcPr>
            <w:tcW w:w="5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7"/>
        </w:trPr>
        <w:tc>
          <w:tcPr>
            <w:tcW w:w="7780" w:type="dxa"/>
            <w:vAlign w:val="bottom"/>
            <w:vMerge w:val="restart"/>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8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8,438</w:t>
            </w:r>
          </w:p>
        </w:tc>
        <w:tc>
          <w:tcPr>
            <w:tcW w:w="0" w:type="dxa"/>
            <w:vAlign w:val="bottom"/>
          </w:tcPr>
          <w:p>
            <w:pPr>
              <w:spacing w:after="0"/>
              <w:rPr>
                <w:sz w:val="1"/>
                <w:szCs w:val="1"/>
                <w:color w:val="auto"/>
              </w:rPr>
            </w:pPr>
          </w:p>
        </w:tc>
      </w:tr>
      <w:tr>
        <w:trPr>
          <w:trHeight w:val="270"/>
        </w:trPr>
        <w:tc>
          <w:tcPr>
            <w:tcW w:w="778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5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Beginning of period</w:t>
            </w:r>
          </w:p>
        </w:tc>
        <w:tc>
          <w:tcPr>
            <w:tcW w:w="5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19,154</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140"/>
              <w:spacing w:after="0"/>
              <w:rPr>
                <w:sz w:val="20"/>
                <w:szCs w:val="20"/>
                <w:color w:val="auto"/>
              </w:rPr>
            </w:pPr>
            <w:r>
              <w:rPr>
                <w:rFonts w:ascii="Arial" w:cs="Arial" w:eastAsia="Arial" w:hAnsi="Arial"/>
                <w:sz w:val="18"/>
                <w:szCs w:val="18"/>
                <w:color w:val="auto"/>
              </w:rPr>
              <w:t>End of period</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27,592</w:t>
            </w:r>
          </w:p>
        </w:tc>
        <w:tc>
          <w:tcPr>
            <w:tcW w:w="0" w:type="dxa"/>
            <w:vAlign w:val="bottom"/>
          </w:tcPr>
          <w:p>
            <w:pPr>
              <w:spacing w:after="0"/>
              <w:rPr>
                <w:sz w:val="1"/>
                <w:szCs w:val="1"/>
                <w:color w:val="auto"/>
              </w:rPr>
            </w:pPr>
          </w:p>
        </w:tc>
      </w:tr>
      <w:tr>
        <w:trPr>
          <w:trHeight w:val="27"/>
        </w:trPr>
        <w:tc>
          <w:tcPr>
            <w:tcW w:w="77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paid</w:t>
            </w: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78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Interest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Income taxes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70"/>
        </w:trPr>
        <w:tc>
          <w:tcPr>
            <w:tcW w:w="7780" w:type="dxa"/>
            <w:vAlign w:val="bottom"/>
          </w:tcPr>
          <w:p>
            <w:pPr>
              <w:spacing w:after="0"/>
              <w:rPr>
                <w:sz w:val="20"/>
                <w:szCs w:val="20"/>
                <w:color w:val="auto"/>
              </w:rPr>
            </w:pPr>
            <w:r>
              <w:rPr>
                <w:rFonts w:ascii="Arial" w:cs="Arial" w:eastAsia="Arial" w:hAnsi="Arial"/>
                <w:sz w:val="18"/>
                <w:szCs w:val="18"/>
                <w:b w:val="1"/>
                <w:bCs w:val="1"/>
                <w:color w:val="auto"/>
              </w:rPr>
              <w:t>Noncash investing and financing</w:t>
            </w:r>
          </w:p>
        </w:tc>
        <w:tc>
          <w:tcPr>
            <w:tcW w:w="5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Equipment acquired through capital lease obligations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-7571740</wp:posOffset>
            </wp:positionV>
            <wp:extent cx="708342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34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-7228840</wp:posOffset>
            </wp:positionV>
            <wp:extent cx="708342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34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-6885940</wp:posOffset>
            </wp:positionV>
            <wp:extent cx="708342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34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-6542405</wp:posOffset>
            </wp:positionV>
            <wp:extent cx="708342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34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-6199505</wp:posOffset>
            </wp:positionV>
            <wp:extent cx="708342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34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-5856605</wp:posOffset>
            </wp:positionV>
            <wp:extent cx="708342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34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-5513705</wp:posOffset>
            </wp:positionV>
            <wp:extent cx="708342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34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-5170805</wp:posOffset>
            </wp:positionV>
            <wp:extent cx="708342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34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-4819015</wp:posOffset>
            </wp:positionV>
            <wp:extent cx="708342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34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-4476115</wp:posOffset>
            </wp:positionV>
            <wp:extent cx="708342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34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-4132580</wp:posOffset>
            </wp:positionV>
            <wp:extent cx="708342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34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-3781425</wp:posOffset>
            </wp:positionV>
            <wp:extent cx="708342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34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-3438525</wp:posOffset>
            </wp:positionV>
            <wp:extent cx="708342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34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-3094990</wp:posOffset>
            </wp:positionV>
            <wp:extent cx="708342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34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-2752090</wp:posOffset>
            </wp:positionV>
            <wp:extent cx="708342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34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-2409190</wp:posOffset>
            </wp:positionV>
            <wp:extent cx="708342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34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-2066290</wp:posOffset>
            </wp:positionV>
            <wp:extent cx="708342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34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-1714500</wp:posOffset>
            </wp:positionV>
            <wp:extent cx="708342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34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-1362710</wp:posOffset>
            </wp:positionV>
            <wp:extent cx="708342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34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-668020</wp:posOffset>
            </wp:positionV>
            <wp:extent cx="708342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34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08342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34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-1019810</wp:posOffset>
            </wp:positionV>
            <wp:extent cx="7083425"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3425" cy="180340"/>
                    </a:xfrm>
                    <a:prstGeom prst="rect">
                      <a:avLst/>
                    </a:prstGeom>
                    <a:noFill/>
                  </pic:spPr>
                </pic:pic>
              </a:graphicData>
            </a:graphic>
          </wp:anchor>
        </w:drawing>
      </w:r>
    </w:p>
    <w:p>
      <w:pPr>
        <w:ind w:left="216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ind w:left="1144" w:hanging="1144"/>
        <w:spacing w:after="0"/>
        <w:tabs>
          <w:tab w:leader="none" w:pos="1144" w:val="left"/>
        </w:tabs>
        <w:numPr>
          <w:ilvl w:val="0"/>
          <w:numId w:val="2"/>
        </w:numPr>
        <w:rPr>
          <w:rFonts w:ascii="Arial" w:cs="Arial" w:eastAsia="Arial" w:hAnsi="Arial"/>
          <w:sz w:val="18"/>
          <w:szCs w:val="18"/>
          <w:color w:val="auto"/>
        </w:rPr>
      </w:pPr>
      <w:r>
        <w:rPr>
          <w:rFonts w:ascii="Arial" w:cs="Arial" w:eastAsia="Arial" w:hAnsi="Arial"/>
          <w:sz w:val="18"/>
          <w:szCs w:val="18"/>
          <w:color w:val="auto"/>
        </w:rPr>
        <w:t>3,458</w:t>
      </w:r>
    </w:p>
    <w:p>
      <w:pPr>
        <w:spacing w:after="0" w:line="333" w:lineRule="exact"/>
        <w:rPr>
          <w:rFonts w:ascii="Arial" w:cs="Arial" w:eastAsia="Arial" w:hAnsi="Arial"/>
          <w:sz w:val="18"/>
          <w:szCs w:val="18"/>
          <w:color w:val="auto"/>
        </w:rPr>
      </w:pPr>
    </w:p>
    <w:p>
      <w:pPr>
        <w:ind w:left="1144"/>
        <w:spacing w:after="0"/>
        <w:rPr>
          <w:rFonts w:ascii="Arial" w:cs="Arial" w:eastAsia="Arial" w:hAnsi="Arial"/>
          <w:sz w:val="18"/>
          <w:szCs w:val="18"/>
          <w:color w:val="auto"/>
        </w:rPr>
      </w:pPr>
      <w:r>
        <w:rPr>
          <w:rFonts w:ascii="Arial" w:cs="Arial" w:eastAsia="Arial" w:hAnsi="Arial"/>
          <w:sz w:val="18"/>
          <w:szCs w:val="18"/>
          <w:color w:val="auto"/>
        </w:rPr>
        <w:t>8,017</w:t>
      </w:r>
    </w:p>
    <w:p>
      <w:pPr>
        <w:spacing w:after="0" w:line="63" w:lineRule="exact"/>
        <w:rPr>
          <w:rFonts w:ascii="Arial" w:cs="Arial" w:eastAsia="Arial" w:hAnsi="Arial"/>
          <w:sz w:val="18"/>
          <w:szCs w:val="18"/>
          <w:color w:val="auto"/>
        </w:rPr>
      </w:pPr>
    </w:p>
    <w:p>
      <w:pPr>
        <w:ind w:left="1144"/>
        <w:spacing w:after="0"/>
        <w:rPr>
          <w:rFonts w:ascii="Arial" w:cs="Arial" w:eastAsia="Arial" w:hAnsi="Arial"/>
          <w:sz w:val="18"/>
          <w:szCs w:val="18"/>
          <w:color w:val="auto"/>
        </w:rPr>
      </w:pPr>
      <w:r>
        <w:rPr>
          <w:rFonts w:ascii="Arial" w:cs="Arial" w:eastAsia="Arial" w:hAnsi="Arial"/>
          <w:sz w:val="18"/>
          <w:szCs w:val="18"/>
          <w:color w:val="auto"/>
        </w:rPr>
        <w:t>1,037</w:t>
      </w:r>
    </w:p>
    <w:p>
      <w:pPr>
        <w:spacing w:after="0" w:line="63" w:lineRule="exact"/>
        <w:rPr>
          <w:rFonts w:ascii="Arial" w:cs="Arial" w:eastAsia="Arial" w:hAnsi="Arial"/>
          <w:sz w:val="18"/>
          <w:szCs w:val="18"/>
          <w:color w:val="auto"/>
        </w:rPr>
      </w:pPr>
    </w:p>
    <w:p>
      <w:pPr>
        <w:ind w:left="1144"/>
        <w:spacing w:after="0"/>
        <w:rPr>
          <w:rFonts w:ascii="Arial" w:cs="Arial" w:eastAsia="Arial" w:hAnsi="Arial"/>
          <w:sz w:val="18"/>
          <w:szCs w:val="18"/>
          <w:color w:val="auto"/>
        </w:rPr>
      </w:pPr>
      <w:r>
        <w:rPr>
          <w:rFonts w:ascii="Arial" w:cs="Arial" w:eastAsia="Arial" w:hAnsi="Arial"/>
          <w:sz w:val="18"/>
          <w:szCs w:val="18"/>
          <w:color w:val="auto"/>
        </w:rPr>
        <w:t>1,729</w:t>
      </w:r>
    </w:p>
    <w:p>
      <w:pPr>
        <w:spacing w:after="0" w:line="63" w:lineRule="exact"/>
        <w:rPr>
          <w:rFonts w:ascii="Arial" w:cs="Arial" w:eastAsia="Arial" w:hAnsi="Arial"/>
          <w:sz w:val="18"/>
          <w:szCs w:val="18"/>
          <w:color w:val="auto"/>
        </w:rPr>
      </w:pPr>
    </w:p>
    <w:p>
      <w:pPr>
        <w:ind w:left="1364"/>
        <w:spacing w:after="0"/>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1204"/>
        <w:spacing w:after="0"/>
        <w:rPr>
          <w:rFonts w:ascii="Arial" w:cs="Arial" w:eastAsia="Arial" w:hAnsi="Arial"/>
          <w:sz w:val="18"/>
          <w:szCs w:val="18"/>
          <w:color w:val="auto"/>
        </w:rPr>
      </w:pPr>
      <w:r>
        <w:rPr>
          <w:rFonts w:ascii="Arial" w:cs="Arial" w:eastAsia="Arial" w:hAnsi="Arial"/>
          <w:sz w:val="17"/>
          <w:szCs w:val="17"/>
          <w:color w:val="auto"/>
        </w:rPr>
        <w:t>(132)</w:t>
      </w:r>
    </w:p>
    <w:p>
      <w:pPr>
        <w:spacing w:after="0" w:line="74" w:lineRule="exact"/>
        <w:rPr>
          <w:rFonts w:ascii="Arial" w:cs="Arial" w:eastAsia="Arial" w:hAnsi="Arial"/>
          <w:sz w:val="18"/>
          <w:szCs w:val="18"/>
          <w:color w:val="auto"/>
        </w:rPr>
      </w:pPr>
    </w:p>
    <w:p>
      <w:pPr>
        <w:ind w:left="1204"/>
        <w:spacing w:after="0"/>
        <w:rPr>
          <w:rFonts w:ascii="Arial" w:cs="Arial" w:eastAsia="Arial" w:hAnsi="Arial"/>
          <w:sz w:val="18"/>
          <w:szCs w:val="18"/>
          <w:color w:val="auto"/>
        </w:rPr>
      </w:pPr>
      <w:r>
        <w:rPr>
          <w:rFonts w:ascii="Arial" w:cs="Arial" w:eastAsia="Arial" w:hAnsi="Arial"/>
          <w:sz w:val="17"/>
          <w:szCs w:val="17"/>
          <w:color w:val="auto"/>
        </w:rPr>
        <w:t>(200)</w:t>
      </w:r>
    </w:p>
    <w:p>
      <w:pPr>
        <w:spacing w:after="0" w:line="34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12,133</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315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160</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2,435</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10636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57"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29,113</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(3,735)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(422)</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10636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(4,109)</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(1,894)</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225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(1,105)</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5,400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(20,200)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(1,530)</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58</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10636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(18,888)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10636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57"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6,027</w:t>
      </w:r>
    </w:p>
    <w:p>
      <w:pPr>
        <w:spacing w:after="0" w:line="333" w:lineRule="exact"/>
        <w:rPr>
          <w:sz w:val="20"/>
          <w:szCs w:val="20"/>
          <w:color w:val="auto"/>
        </w:rPr>
      </w:pPr>
    </w:p>
    <w:p>
      <w:pPr>
        <w:ind w:left="1144"/>
        <w:spacing w:after="0"/>
        <w:rPr>
          <w:sz w:val="20"/>
          <w:szCs w:val="20"/>
          <w:color w:val="auto"/>
        </w:rPr>
      </w:pPr>
      <w:r>
        <w:rPr>
          <w:rFonts w:ascii="Arial" w:cs="Arial" w:eastAsia="Arial" w:hAnsi="Arial"/>
          <w:sz w:val="18"/>
          <w:szCs w:val="18"/>
          <w:color w:val="auto"/>
        </w:rPr>
        <w:t>9,599</w:t>
      </w:r>
    </w:p>
    <w:p>
      <w:pPr>
        <w:spacing w:after="0" w:line="77" w:lineRule="exact"/>
        <w:rPr>
          <w:sz w:val="20"/>
          <w:szCs w:val="20"/>
          <w:color w:val="auto"/>
        </w:rPr>
      </w:pPr>
    </w:p>
    <w:p>
      <w:pPr>
        <w:ind w:left="1044" w:hanging="1044"/>
        <w:spacing w:after="0"/>
        <w:tabs>
          <w:tab w:leader="none" w:pos="1044" w:val="left"/>
        </w:tabs>
        <w:numPr>
          <w:ilvl w:val="0"/>
          <w:numId w:val="3"/>
        </w:numPr>
        <w:rPr>
          <w:rFonts w:ascii="Arial" w:cs="Arial" w:eastAsia="Arial" w:hAnsi="Arial"/>
          <w:sz w:val="18"/>
          <w:szCs w:val="18"/>
          <w:color w:val="auto"/>
        </w:rPr>
      </w:pPr>
      <w:r>
        <w:rPr>
          <w:rFonts w:ascii="Arial" w:cs="Arial" w:eastAsia="Arial" w:hAnsi="Arial"/>
          <w:sz w:val="18"/>
          <w:szCs w:val="18"/>
          <w:color w:val="auto"/>
        </w:rPr>
        <w:t>15,626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10636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313" w:lineRule="exact"/>
        <w:rPr>
          <w:sz w:val="20"/>
          <w:szCs w:val="20"/>
          <w:color w:val="auto"/>
        </w:rPr>
      </w:pPr>
    </w:p>
    <w:p>
      <w:pPr>
        <w:ind w:left="1264" w:hanging="1264"/>
        <w:spacing w:after="0"/>
        <w:tabs>
          <w:tab w:leader="none" w:pos="1264" w:val="left"/>
        </w:tabs>
        <w:numPr>
          <w:ilvl w:val="0"/>
          <w:numId w:val="4"/>
        </w:numPr>
        <w:rPr>
          <w:rFonts w:ascii="Arial" w:cs="Arial" w:eastAsia="Arial" w:hAnsi="Arial"/>
          <w:sz w:val="18"/>
          <w:szCs w:val="18"/>
          <w:color w:val="auto"/>
        </w:rPr>
      </w:pPr>
      <w:r>
        <w:rPr>
          <w:rFonts w:ascii="Arial" w:cs="Arial" w:eastAsia="Arial" w:hAnsi="Arial"/>
          <w:sz w:val="18"/>
          <w:szCs w:val="18"/>
          <w:color w:val="auto"/>
        </w:rPr>
        <w:t>904</w:t>
      </w:r>
    </w:p>
    <w:p>
      <w:pPr>
        <w:spacing w:after="0" w:line="63" w:lineRule="exact"/>
        <w:rPr>
          <w:rFonts w:ascii="Arial" w:cs="Arial" w:eastAsia="Arial" w:hAnsi="Arial"/>
          <w:sz w:val="18"/>
          <w:szCs w:val="18"/>
          <w:color w:val="auto"/>
        </w:rPr>
      </w:pPr>
    </w:p>
    <w:p>
      <w:pPr>
        <w:ind w:left="1144" w:hanging="1144"/>
        <w:spacing w:after="0"/>
        <w:tabs>
          <w:tab w:leader="none" w:pos="1144" w:val="left"/>
        </w:tabs>
        <w:numPr>
          <w:ilvl w:val="0"/>
          <w:numId w:val="4"/>
        </w:numPr>
        <w:rPr>
          <w:rFonts w:ascii="Arial" w:cs="Arial" w:eastAsia="Arial" w:hAnsi="Arial"/>
          <w:sz w:val="18"/>
          <w:szCs w:val="18"/>
          <w:color w:val="auto"/>
        </w:rPr>
      </w:pPr>
      <w:r>
        <w:rPr>
          <w:rFonts w:ascii="Arial" w:cs="Arial" w:eastAsia="Arial" w:hAnsi="Arial"/>
          <w:sz w:val="18"/>
          <w:szCs w:val="18"/>
          <w:color w:val="auto"/>
        </w:rPr>
        <w:t>1,644</w:t>
      </w:r>
    </w:p>
    <w:p>
      <w:pPr>
        <w:spacing w:after="0" w:line="333" w:lineRule="exact"/>
        <w:rPr>
          <w:sz w:val="20"/>
          <w:szCs w:val="20"/>
          <w:color w:val="auto"/>
        </w:rPr>
      </w:pPr>
    </w:p>
    <w:p>
      <w:pPr>
        <w:ind w:left="1144" w:hanging="1144"/>
        <w:spacing w:after="0"/>
        <w:tabs>
          <w:tab w:leader="none" w:pos="1144" w:val="left"/>
        </w:tabs>
        <w:numPr>
          <w:ilvl w:val="0"/>
          <w:numId w:val="5"/>
        </w:numPr>
        <w:rPr>
          <w:rFonts w:ascii="Arial" w:cs="Arial" w:eastAsia="Arial" w:hAnsi="Arial"/>
          <w:sz w:val="18"/>
          <w:szCs w:val="18"/>
          <w:color w:val="auto"/>
        </w:rPr>
      </w:pPr>
      <w:r>
        <w:rPr>
          <w:rFonts w:ascii="Arial" w:cs="Arial" w:eastAsia="Arial" w:hAnsi="Arial"/>
          <w:sz w:val="18"/>
          <w:szCs w:val="18"/>
          <w:color w:val="auto"/>
        </w:rPr>
        <w:t>2,267</w:t>
      </w:r>
    </w:p>
    <w:p>
      <w:pPr>
        <w:spacing w:after="0" w:line="420" w:lineRule="exact"/>
        <w:rPr>
          <w:sz w:val="20"/>
          <w:szCs w:val="20"/>
          <w:color w:val="auto"/>
        </w:rPr>
      </w:pPr>
    </w:p>
    <w:p>
      <w:pPr>
        <w:sectPr>
          <w:pgSz w:w="11900" w:h="16838" w:orient="portrait"/>
          <w:cols w:equalWidth="0" w:num="2">
            <w:col w:w="9380" w:space="136"/>
            <w:col w:w="1604"/>
          </w:cols>
          <w:pgMar w:left="240" w:top="121" w:right="539" w:bottom="1440" w:gutter="0" w:footer="0" w:header="0"/>
          <w:type w:val="continuous"/>
        </w:sectPr>
      </w:pPr>
    </w:p>
    <w:p>
      <w:pPr>
        <w:spacing w:after="0" w:line="75"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120"/>
          </w:cols>
          <w:pgMar w:left="240" w:top="121" w:right="5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80" w:hanging="672"/>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Mistras Group, Inc. and subsidiaries ("the Company") is a leading “one source” global provider of technology-enabled asset protection solutions used to evaluate the structural integrity and reliability of critical energy, industrial and public infrastructure. The Company combines industry-leading products and technologies, expertise in mechanical integrity (MI) and non-destructive testing (NDT) services and proprietary data analysis software to deliver a comprehensive portfolio of customized solutions, ranging from routine inspections to complex, plant-wide asset integrity assessments and management. These mission critical solutions enhance customers’ ability to extend the useful life of their assets, increase productivity, minimize repair costs, comply with governmental safety and environmental regulations, manage risk and avoid catastrophic disasters. The Company serves a global customer base of companies with asset-intensive infrastructure, including companies in the oil and gas, fossil and nuclear power, alternative and renewable energy, public infrastructure, chemicals, commercial aerospace and defense, transportation, primary metals and metalworking, pharmaceutical/biotechnology and food processing industries and research and engineering institutions.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condensed consolidated financial statements contained in this report are unaudited. In the opinion of management, the condensed consolidated financial statements include all adjustments, which are of a normal recurring nature, necessary for a fair presentation of the results for the interim periods of the fiscal years ending December 31, 2017 and 2016. 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the audited consolidated financial statements contained in the Company’s Transition Report on Form 10-K (“2016 Transition Report”) for the transition period ended December 31, 2016, as filed with the Securities and Exchange Commission on March 20,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accompanying unaudited condensed consolidated financial statements include the accounts of Mistras Group, Inc. and its wholly and majority-owned subsidiaries. For subsidiaries in which the Company’s ownership interest is less than 100%, the noncontrolling interests are reported in stockholders’ equity in the accompanying condensed consolidated balance sheets. The noncontrolling interests in net income, net of tax, is classified separately in the accompanying condensed consolidated statements of income. All significant intercompany accounts and transactions have been eliminated in consolidation.</w:t>
      </w:r>
    </w:p>
    <w:p>
      <w:pPr>
        <w:spacing w:after="0" w:line="15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On January 3, 2017, the Company's Board of Directors approved a change in the Company's fiscal year end from May 31 to December 31, effective December 31, 2016. The transition period was for the seven months ended December 31, 2016 ("the transition period"). Prior to this change, the Company's International segment was consolidated on a one month lag. Therefore, for this interim report, the condensed consolidated income statement includes a one month lag for the International segment for the three months ended March 31, 2016. Management does not believe that any events occurred during the one-month lag period that would have a material effect on the Company’s condensed consolidated financial statements. The one month lag was removed with the change in the Company's fiscal year noted above, and accordingly, the condensed consolidated income statement does not include a one month lag for the International segment's results for the three months ended March 31,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Certain amounts in prior periods have been reclassified to conform to the current year presentation. Such reclassifications did not have a material effect on the Company's financial condition or results of operations as previously reported.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One customer accounted for approximately 11% of our revenues and 9% of accounts receivable in the first quarter of 2017, which primarily were generated from the Services segment. One customer accounted for 10% of our revenues in the first quarter of 2016.</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 xml:space="preserve">The Company’s significant accounting policies are disclosed in Note 2 —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in the Company's 2016 Transition Report. On an ongoing basis, the Company evaluates its estimates and assumptions, including, among other things those related to revenue recognition, valuations of accounts receivable, long-lived assets, goodwill, deferred tax assets and uncertain tax positions. Since the date of the 2016 Transition Report, there have been no material changes to the Company's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080808"/>
        </w:rPr>
        <w:t xml:space="preserve">In August 2015, the Financial Accounting Standards Board ("FASB") issued Accounting Standards Update ("ASU") 2015-14, </w:t>
      </w:r>
      <w:r>
        <w:rPr>
          <w:rFonts w:ascii="Arial" w:cs="Arial" w:eastAsia="Arial" w:hAnsi="Arial"/>
          <w:sz w:val="16"/>
          <w:szCs w:val="16"/>
          <w:i w:val="1"/>
          <w:iCs w:val="1"/>
          <w:color w:val="080808"/>
        </w:rPr>
        <w:t>Revenue from Contracts with</w:t>
      </w:r>
      <w:r>
        <w:rPr>
          <w:rFonts w:ascii="Arial" w:cs="Arial" w:eastAsia="Arial" w:hAnsi="Arial"/>
          <w:sz w:val="16"/>
          <w:szCs w:val="16"/>
          <w:color w:val="080808"/>
        </w:rPr>
        <w:t xml:space="preserve"> </w:t>
      </w:r>
      <w:r>
        <w:rPr>
          <w:rFonts w:ascii="Arial" w:cs="Arial" w:eastAsia="Arial" w:hAnsi="Arial"/>
          <w:sz w:val="16"/>
          <w:szCs w:val="16"/>
          <w:i w:val="1"/>
          <w:iCs w:val="1"/>
          <w:color w:val="080808"/>
        </w:rPr>
        <w:t xml:space="preserve">Customers (Topic 606): Deferral of the Effective Date, </w:t>
      </w:r>
      <w:r>
        <w:rPr>
          <w:rFonts w:ascii="Arial" w:cs="Arial" w:eastAsia="Arial" w:hAnsi="Arial"/>
          <w:sz w:val="16"/>
          <w:szCs w:val="16"/>
          <w:color w:val="080808"/>
        </w:rPr>
        <w:t>which defers the effective date of ASU 2014-09 for all entities by one year. This update is effective for</w:t>
      </w:r>
      <w:r>
        <w:rPr>
          <w:rFonts w:ascii="Arial" w:cs="Arial" w:eastAsia="Arial" w:hAnsi="Arial"/>
          <w:sz w:val="16"/>
          <w:szCs w:val="16"/>
          <w:i w:val="1"/>
          <w:iCs w:val="1"/>
          <w:color w:val="080808"/>
        </w:rPr>
        <w:t xml:space="preserve"> </w:t>
      </w:r>
      <w:r>
        <w:rPr>
          <w:rFonts w:ascii="Arial" w:cs="Arial" w:eastAsia="Arial" w:hAnsi="Arial"/>
          <w:sz w:val="16"/>
          <w:szCs w:val="16"/>
          <w:color w:val="080808"/>
        </w:rPr>
        <w:t>public business entities for annual reporting periods beginning after December 15, 2017, including interim periods within those reporting periods. Earlier application is permitted only as of annual reporting periods beginning after December 15, 2016, including interim reporting periods within that reporting period. ASU 2014-09 will become effective for us beginning 2018, which is when we plan to adopt this standard. The ASU permits two methods of adoption: retrospectively to each prior reporting period presented (full retrospective method), or retrospectively with the cumulative effect of initially applying the guidance recognized at the date of initial application (the cumulative catch-up transition method). The ASU also requires expanded disclosures relating to the nature, amount, timing, and uncertainty of revenue and cash flows arising from contracts with customers. Additionally, qualitative and quantitative disclosures are required about customer contracts, significant judgments and changes in judgments, and assets recognized from the costs to obtain or fulfill a contract. We are still in the process of evaluating the effect of adoption on our condensed consolidated financial statements and are currently assessing our contracts with customers. We anticipate we will expand our condensed consolidated financial statement disclosures in order to comply with ASU 2014-09.</w:t>
      </w:r>
    </w:p>
    <w:p>
      <w:pPr>
        <w:spacing w:after="0" w:line="17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 xml:space="preserve">In November 2015, the FASB issued ASU No. 2015-17, </w:t>
      </w:r>
      <w:r>
        <w:rPr>
          <w:rFonts w:ascii="Arial" w:cs="Arial" w:eastAsia="Arial" w:hAnsi="Arial"/>
          <w:sz w:val="18"/>
          <w:szCs w:val="18"/>
          <w:i w:val="1"/>
          <w:iCs w:val="1"/>
          <w:color w:val="auto"/>
        </w:rPr>
        <w:t>Income Taxes (Topic 740): Balance Sheet Classification of Deferred Taxes.</w:t>
      </w:r>
      <w:r>
        <w:rPr>
          <w:rFonts w:ascii="Arial" w:cs="Arial" w:eastAsia="Arial" w:hAnsi="Arial"/>
          <w:sz w:val="18"/>
          <w:szCs w:val="18"/>
          <w:color w:val="auto"/>
        </w:rPr>
        <w:t xml:space="preserve"> This amendment will simplify the presentation of deferred tax assets and liabilities on the balance sheet and require all deferred tax assets and liabilities to be treated as non-current. ASU 2015-17 is effective for fiscal years, and interim periods within those fiscal years beginning after December 15, 2016, with early adoption permitted. The Company adopted this guidance prospectively beginning in the first quarter of 2017, which did not have a material impact on the condensed consolidated financial statements and related disclosures.</w:t>
      </w:r>
    </w:p>
    <w:p>
      <w:pPr>
        <w:spacing w:after="0" w:line="188" w:lineRule="exact"/>
        <w:rPr>
          <w:sz w:val="20"/>
          <w:szCs w:val="20"/>
          <w:color w:val="auto"/>
        </w:rPr>
      </w:pPr>
    </w:p>
    <w:p>
      <w:pPr>
        <w:ind w:right="360"/>
        <w:spacing w:after="0" w:line="29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This amendment supersedes previous accounting guidance (</w:t>
      </w:r>
      <w:r>
        <w:rPr>
          <w:rFonts w:ascii="Arial" w:cs="Arial" w:eastAsia="Arial" w:hAnsi="Arial"/>
          <w:sz w:val="16"/>
          <w:szCs w:val="16"/>
          <w:i w:val="1"/>
          <w:iCs w:val="1"/>
          <w:color w:val="auto"/>
        </w:rPr>
        <w:t>Topic 840)</w:t>
      </w:r>
      <w:r>
        <w:rPr>
          <w:rFonts w:ascii="Arial" w:cs="Arial" w:eastAsia="Arial" w:hAnsi="Arial"/>
          <w:sz w:val="16"/>
          <w:szCs w:val="16"/>
          <w:color w:val="auto"/>
        </w:rPr>
        <w:t xml:space="preserve"> and requires all leases, with exception of leases with a term of 12 months or less, to be recorded on the balance sheet as lease assets and lease liabilities. ASU 2016-02 is effective for fiscal years, and interim periods within those fiscal years beginning after December 15, 2018, with early adoption permitted. The standard requires lessees and lessors to recognize and measure leases at the beginning of the earliest period presented using a modified retrospective approach. The Company is evaluating the effect that ASU 2016-02 will have on its condensed consolidated financial statements and related disclosures.</w:t>
      </w:r>
    </w:p>
    <w:p>
      <w:pPr>
        <w:spacing w:after="0" w:line="1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Stock Compensation (Topic 718).</w:t>
      </w:r>
      <w:r>
        <w:rPr>
          <w:rFonts w:ascii="Arial" w:cs="Arial" w:eastAsia="Arial" w:hAnsi="Arial"/>
          <w:sz w:val="18"/>
          <w:szCs w:val="18"/>
          <w:color w:val="auto"/>
        </w:rPr>
        <w:t xml:space="preserve"> This amendment will simplify certain aspects of accounting for share-based payment transactions, which include accounting for income taxes and the related impact on the statement of cash flows, an option to account for forfeitures when they occur in addition to the existing guidance to estimate the forfeitures of awards, classification of awards as either equity or liabilities and classification on the statement of cash flows for employee taxes paid to tax authorities on shares withheld for vesting. ASU 2016-09 is effective for fiscal years, and interim periods within those fiscal years beginning after December 15, 2016, with early adoption permitted. The Company prospectively adopted this guidance beginning in the first quarter of 2017, and accordingly, is recording excess tax benefits and tax deficiencies as a component of income tax expense.</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w:t>
      </w:r>
      <w:r>
        <w:rPr>
          <w:rFonts w:ascii="Arial" w:cs="Arial" w:eastAsia="Arial" w:hAnsi="Arial"/>
          <w:sz w:val="18"/>
          <w:szCs w:val="18"/>
          <w:color w:val="auto"/>
        </w:rPr>
        <w:t xml:space="preserve"> This amendment will provide guidance on the presentation and classification of specific cash flow items to improve consistency within the statement of cash flows. ASU 2016-15 is effective for fiscal years, and interim periods within those fiscal years beginning after December 15, 2017, with early adoption permitted. The Company is evaluating the impact that ASU 2016-15 will have on its condensed consolidated financial statements and related disclosures.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In November 2016, the FASB issued ASU No. 2016-18, </w:t>
      </w:r>
      <w:r>
        <w:rPr>
          <w:rFonts w:ascii="Arial" w:cs="Arial" w:eastAsia="Arial" w:hAnsi="Arial"/>
          <w:sz w:val="17"/>
          <w:szCs w:val="17"/>
          <w:i w:val="1"/>
          <w:iCs w:val="1"/>
          <w:color w:val="auto"/>
        </w:rPr>
        <w:t>Statement of Cash Flows (Topic 230).</w:t>
      </w:r>
      <w:r>
        <w:rPr>
          <w:rFonts w:ascii="Arial" w:cs="Arial" w:eastAsia="Arial" w:hAnsi="Arial"/>
          <w:sz w:val="17"/>
          <w:szCs w:val="17"/>
          <w:color w:val="auto"/>
        </w:rPr>
        <w:t xml:space="preserve"> This amendment will clarify the presentation of restricted cash on the statement of cash flows. Amounts generally described as restricted cash and restricted cash equivalents should be included with cash and cash equivalents when reconciling the beginning and ending cash balances on the statement of cash flows. ASU 2016-18 is effective for fiscal years, and interim periods within those fiscal years beginning after December 15, 2017, with early adoption permitted. The Company does not expect that ASU 2016-18 will have a material impact on its condensed consolidated financial statements and related disclosures.</w:t>
      </w:r>
    </w:p>
    <w:p>
      <w:pPr>
        <w:spacing w:after="0" w:line="1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 (Topic 350).</w:t>
      </w:r>
      <w:r>
        <w:rPr>
          <w:rFonts w:ascii="Arial" w:cs="Arial" w:eastAsia="Arial" w:hAnsi="Arial"/>
          <w:sz w:val="18"/>
          <w:szCs w:val="18"/>
          <w:color w:val="auto"/>
        </w:rPr>
        <w:t xml:space="preserve"> This amendment eliminates Step Two of the goodwill impairment test. Under the amendments in this update, entities should perform the annual goodwill impairment test by comparing the carrying value of its reporting units to their fair value. An entity should record an impairment charge for the amount by which the carrying amount exceeds the reporting unit’s fair value. Tax deductibility of goodwill should be considered in evaluating any reporting unit's impairment loss to be taken. ASU 2017-04 is effective for fiscal years beginning after December 15, 2019, with early adoption permitted. The Company is evaluating the impact that ASU 2017-04 will have on its condensed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80" w:hanging="672"/>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7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Company has share-based incentive awards outstanding to its eligible employees and non-employee directors under three equity incentive plans: (i) the 2007 Stock Option Plan (the 2007 Plan), (ii) the 2009 Long-Term Incentive Plan (the 2009 Plan) and (iii) the 2016 Long-Term Incentive Plan. No further awards may be granted under the 2007 and 2009 Plans, although awards granted under the 2007 and 2009 Plans remain outstanding in accordance with their terms. Awards granted under the 2016 Plan may be in the form of stock options, restricted stock units and other forms of share-based incentives, including performance restricted stock units, stock appreciation rights and deferred stock rights.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For the three months ended March 31, 2017, the Company did not recognize any share-based compensation expense related to stock option awards. No unrecognized compensation costs remained related to stock option awards as of March 31, 2017.</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For the three months ended March 31, 2016, the Company recognized share-based compensation expense related to stock option awards of less than $0.1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 stock options were granted during the three months ended March 31, 2017 and March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stock option activity, weighted average exercise prices and options outstanding as of March 31, 2017 and 2016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38"/>
              <w:spacing w:after="0"/>
              <w:rPr>
                <w:sz w:val="20"/>
                <w:szCs w:val="20"/>
                <w:color w:val="auto"/>
              </w:rPr>
            </w:pPr>
            <w:r>
              <w:rPr>
                <w:rFonts w:ascii="Arial" w:cs="Arial" w:eastAsia="Arial" w:hAnsi="Arial"/>
                <w:sz w:val="14"/>
                <w:szCs w:val="14"/>
                <w:b w:val="1"/>
                <w:bCs w:val="1"/>
                <w:color w:val="auto"/>
                <w:w w:val="92"/>
              </w:rPr>
              <w:t>For the three months ended March 31,</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15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1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2016</w:t>
            </w: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960" w:type="dxa"/>
            <w:vAlign w:val="bottom"/>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Weighted</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Exercise</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beginning of period:</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2,167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13.33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2,265</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13.16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7.67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10.02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Expired or forfeited</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end of period:</w:t>
            </w:r>
          </w:p>
        </w:tc>
        <w:tc>
          <w:tcPr>
            <w:tcW w:w="12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2,137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13.41</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2,246</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both the three months ended March 31, 2017 and March 31, 2016, the Company recognized share-based compensation expense related to restricted stock unit awards of $1.1 million. As of March 31, 2017, there was $8.3 million of unrecognized</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compensation costs, net of estimated forfeitures, related to restricted stock unit awards, which are expected to be recognized over a remaining weighted average period of 2.5 years.</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first three months of 2017 and 2016, the Company granted approximately 9,000 and 12,000 shares, respectively, of fully-vested common stock to its five non-employee directors, in connection with its non-employee director compensation plan. These shares had grant date fair values of $0.2 million and $0.3 million, respectively, which was recorded as share-based compensation expense during the three months ended March 31, 2017 and March 31, 2016, respectively.</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the first three months of 2017 and 2016, approximately 5,000 restricted stock units vested for each period. The fair value of these units was $0.1 million for each respective period. Upon vesting, restricted stock units are generally net share-settled to cover the required minimum withholding tax and the remaining amount is converted into an equivalent number of shares of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outstanding, nonvested restricted share units is presented below:</w:t>
      </w:r>
    </w:p>
    <w:p>
      <w:pPr>
        <w:spacing w:after="0" w:line="379" w:lineRule="exact"/>
        <w:rPr>
          <w:sz w:val="20"/>
          <w:szCs w:val="20"/>
          <w:color w:val="auto"/>
        </w:rPr>
      </w:pPr>
    </w:p>
    <w:p>
      <w:pPr>
        <w:ind w:left="7120"/>
        <w:spacing w:after="0"/>
        <w:rPr>
          <w:sz w:val="20"/>
          <w:szCs w:val="20"/>
          <w:color w:val="auto"/>
        </w:rPr>
      </w:pPr>
      <w:r>
        <w:rPr>
          <w:rFonts w:ascii="Arial" w:cs="Arial" w:eastAsia="Arial" w:hAnsi="Arial"/>
          <w:sz w:val="14"/>
          <w:szCs w:val="14"/>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23495</wp:posOffset>
            </wp:positionV>
            <wp:extent cx="39789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w w:val="96"/>
              </w:rPr>
              <w:t>2017</w:t>
            </w:r>
          </w:p>
        </w:tc>
        <w:tc>
          <w:tcPr>
            <w:tcW w:w="11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6"/>
              </w:rPr>
              <w:t>2016</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1"/>
              </w:rPr>
              <w:t>Weighted</w:t>
            </w: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tcPr>
          <w:p>
            <w:pPr>
              <w:jc w:val="center"/>
              <w:ind w:right="138"/>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9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Units</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9"/>
              </w:rPr>
              <w:t>Grant-Date</w:t>
            </w:r>
          </w:p>
        </w:tc>
        <w:tc>
          <w:tcPr>
            <w:tcW w:w="90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Units</w:t>
            </w: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86"/>
        </w:trPr>
        <w:tc>
          <w:tcPr>
            <w:tcW w:w="5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Fair Value</w:t>
            </w:r>
          </w:p>
        </w:tc>
        <w:tc>
          <w:tcPr>
            <w:tcW w:w="90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jc w:val="center"/>
              <w:ind w:right="15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5"/>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Outstanding at beginning of period:</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569</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20.81</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595</w:t>
            </w:r>
          </w:p>
        </w:tc>
        <w:tc>
          <w:tcPr>
            <w:tcW w:w="4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Released</w:t>
            </w: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24.09</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4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9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21.31</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Outstanding at end of period:</w:t>
            </w:r>
          </w:p>
        </w:tc>
        <w:tc>
          <w:tcPr>
            <w:tcW w:w="92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561</w:t>
            </w:r>
          </w:p>
        </w:tc>
        <w:tc>
          <w:tcPr>
            <w:tcW w:w="40" w:type="dxa"/>
            <w:vAlign w:val="bottom"/>
            <w:tcBorders>
              <w:top w:val="single" w:sz="8" w:color="auto"/>
              <w:bottom w:val="single" w:sz="8" w:color="auto"/>
            </w:tcBorders>
          </w:tcPr>
          <w:p>
            <w:pPr>
              <w:spacing w:after="0"/>
              <w:rPr>
                <w:sz w:val="22"/>
                <w:szCs w:val="22"/>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20.78</w:t>
            </w:r>
          </w:p>
        </w:tc>
        <w:tc>
          <w:tcPr>
            <w:tcW w:w="220" w:type="dxa"/>
            <w:vAlign w:val="bottom"/>
          </w:tcPr>
          <w:p>
            <w:pPr>
              <w:spacing w:after="0"/>
              <w:rPr>
                <w:sz w:val="22"/>
                <w:szCs w:val="22"/>
                <w:color w:val="auto"/>
              </w:rPr>
            </w:pPr>
          </w:p>
        </w:tc>
        <w:tc>
          <w:tcPr>
            <w:tcW w:w="90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582</w:t>
            </w:r>
          </w:p>
        </w:tc>
        <w:tc>
          <w:tcPr>
            <w:tcW w:w="4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Restricted Stock Units</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Company maintains Performance Restricted Stock Units (PRSUs) that have been granted to select executives and senior officers whose ultimate payout is based on the Company’s performance over a one-year period based on three metrics, as defined: (1) Operating Income, (2) Adjusted EBITDAS and (3) Revenue. There is a discretionary portion of the PRSUs based on individual performance, at the discretion of the Compensation Committee (Discretionary PRSUs). PRSUs and Discretionary PRSUs generally vest ratably on each of the first four anniversary dates upon completion of the performance period, for a total requisite service period of up to five years and have no dividend rights.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PRSUs are equity-classified and compensation costs are initially measured using the fair value of the underlying stock at the date of grant, assuming that the target performance conditions will be achieved. Compensation costs related to the PRSUs are subsequently adjusted for changes in the expected outcomes of the performance conditions.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Discretionary PRSUs are liability-classified and adjusted to fair value (with a corresponding adjustment to compensation expense) based upon the targeted number of shares to be awarded and the fair value of the underlying stock each reporting period until approved by the Compensation Committee, at which point they are classified as equity.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Performance Restricted Stock Unit activity is presented below:</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795020</wp:posOffset>
            </wp:positionV>
            <wp:extent cx="29502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44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4000" w:type="dxa"/>
            <w:vAlign w:val="bottom"/>
            <w:tcBorders>
              <w:bottom w:val="single" w:sz="8" w:color="auto"/>
            </w:tcBorders>
            <w:gridSpan w:val="3"/>
          </w:tcPr>
          <w:p>
            <w:pPr>
              <w:jc w:val="right"/>
              <w:ind w:right="237"/>
              <w:spacing w:after="0"/>
              <w:rPr>
                <w:sz w:val="20"/>
                <w:szCs w:val="20"/>
                <w:color w:val="auto"/>
              </w:rPr>
            </w:pPr>
            <w:r>
              <w:rPr>
                <w:rFonts w:ascii="Arial" w:cs="Arial" w:eastAsia="Arial" w:hAnsi="Arial"/>
                <w:sz w:val="14"/>
                <w:szCs w:val="14"/>
                <w:b w:val="1"/>
                <w:bCs w:val="1"/>
                <w:color w:val="auto"/>
              </w:rPr>
              <w:t>For the three months ended March 31, 2017</w:t>
            </w:r>
          </w:p>
        </w:tc>
        <w:tc>
          <w:tcPr>
            <w:tcW w:w="640" w:type="dxa"/>
            <w:vAlign w:val="bottom"/>
            <w:tcBorders>
              <w:bottom w:val="single" w:sz="8" w:color="auto"/>
            </w:tcBorders>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80" w:type="dxa"/>
            <w:vAlign w:val="bottom"/>
          </w:tcPr>
          <w:p>
            <w:pPr>
              <w:jc w:val="center"/>
              <w:ind w:left="757"/>
              <w:spacing w:after="0" w:line="153" w:lineRule="exact"/>
              <w:rPr>
                <w:sz w:val="20"/>
                <w:szCs w:val="20"/>
                <w:color w:val="auto"/>
              </w:rPr>
            </w:pPr>
            <w:r>
              <w:rPr>
                <w:rFonts w:ascii="Arial" w:cs="Arial" w:eastAsia="Arial" w:hAnsi="Arial"/>
                <w:sz w:val="14"/>
                <w:szCs w:val="14"/>
                <w:b w:val="1"/>
                <w:bCs w:val="1"/>
                <w:color w:val="auto"/>
                <w:w w:val="91"/>
              </w:rPr>
              <w:t>Weighted</w:t>
            </w:r>
          </w:p>
        </w:tc>
        <w:tc>
          <w:tcPr>
            <w:tcW w:w="6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80" w:type="dxa"/>
            <w:vAlign w:val="bottom"/>
          </w:tcPr>
          <w:p>
            <w:pPr>
              <w:jc w:val="center"/>
              <w:ind w:left="757"/>
              <w:spacing w:after="0" w:line="149" w:lineRule="exact"/>
              <w:rPr>
                <w:sz w:val="20"/>
                <w:szCs w:val="20"/>
                <w:color w:val="auto"/>
              </w:rPr>
            </w:pPr>
            <w:r>
              <w:rPr>
                <w:rFonts w:ascii="Arial" w:cs="Arial" w:eastAsia="Arial" w:hAnsi="Arial"/>
                <w:sz w:val="14"/>
                <w:szCs w:val="14"/>
                <w:b w:val="1"/>
                <w:bCs w:val="1"/>
                <w:color w:val="auto"/>
                <w:w w:val="90"/>
              </w:rPr>
              <w:t>Average</w:t>
            </w:r>
          </w:p>
        </w:tc>
        <w:tc>
          <w:tcPr>
            <w:tcW w:w="6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56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Units</w:t>
            </w:r>
          </w:p>
        </w:tc>
        <w:tc>
          <w:tcPr>
            <w:tcW w:w="660" w:type="dxa"/>
            <w:vAlign w:val="bottom"/>
          </w:tcPr>
          <w:p>
            <w:pPr>
              <w:spacing w:after="0"/>
              <w:rPr>
                <w:sz w:val="12"/>
                <w:szCs w:val="12"/>
                <w:color w:val="auto"/>
              </w:rPr>
            </w:pPr>
          </w:p>
        </w:tc>
        <w:tc>
          <w:tcPr>
            <w:tcW w:w="1780" w:type="dxa"/>
            <w:vAlign w:val="bottom"/>
          </w:tcPr>
          <w:p>
            <w:pPr>
              <w:jc w:val="center"/>
              <w:ind w:left="737"/>
              <w:spacing w:after="0" w:line="149" w:lineRule="exact"/>
              <w:rPr>
                <w:sz w:val="20"/>
                <w:szCs w:val="20"/>
                <w:color w:val="auto"/>
              </w:rPr>
            </w:pPr>
            <w:r>
              <w:rPr>
                <w:rFonts w:ascii="Arial" w:cs="Arial" w:eastAsia="Arial" w:hAnsi="Arial"/>
                <w:sz w:val="14"/>
                <w:szCs w:val="14"/>
                <w:b w:val="1"/>
                <w:bCs w:val="1"/>
                <w:color w:val="auto"/>
                <w:w w:val="99"/>
              </w:rPr>
              <w:t>Grant-Date</w:t>
            </w:r>
          </w:p>
        </w:tc>
        <w:tc>
          <w:tcPr>
            <w:tcW w:w="6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780" w:type="dxa"/>
            <w:vAlign w:val="bottom"/>
          </w:tcPr>
          <w:p>
            <w:pPr>
              <w:jc w:val="center"/>
              <w:ind w:left="757"/>
              <w:spacing w:after="0"/>
              <w:rPr>
                <w:sz w:val="20"/>
                <w:szCs w:val="20"/>
                <w:color w:val="auto"/>
              </w:rPr>
            </w:pPr>
            <w:r>
              <w:rPr>
                <w:rFonts w:ascii="Arial" w:cs="Arial" w:eastAsia="Arial" w:hAnsi="Arial"/>
                <w:sz w:val="14"/>
                <w:szCs w:val="14"/>
                <w:b w:val="1"/>
                <w:bCs w:val="1"/>
                <w:color w:val="auto"/>
                <w:w w:val="98"/>
              </w:rPr>
              <w:t>Fair Value</w:t>
            </w:r>
          </w:p>
        </w:tc>
        <w:tc>
          <w:tcPr>
            <w:tcW w:w="6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beginning of period:</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c>
          <w:tcPr>
            <w:tcW w:w="1780" w:type="dxa"/>
            <w:vAlign w:val="bottom"/>
            <w:tcBorders>
              <w:bottom w:val="single" w:sz="8" w:color="CCEEFF"/>
            </w:tcBorders>
            <w:shd w:val="clear" w:color="auto" w:fill="CCEEFF"/>
          </w:tcPr>
          <w:p>
            <w:pPr>
              <w:jc w:val="right"/>
              <w:ind w:right="1377"/>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16.01</w:t>
            </w:r>
          </w:p>
        </w:tc>
        <w:tc>
          <w:tcPr>
            <w:tcW w:w="2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gridSpan w:val="2"/>
          </w:tcPr>
          <w:p>
            <w:pPr>
              <w:ind w:left="160"/>
              <w:spacing w:after="0"/>
              <w:rPr>
                <w:sz w:val="20"/>
                <w:szCs w:val="20"/>
                <w:color w:val="auto"/>
              </w:rPr>
            </w:pPr>
            <w:r>
              <w:rPr>
                <w:rFonts w:ascii="Arial" w:cs="Arial" w:eastAsia="Arial" w:hAnsi="Arial"/>
                <w:sz w:val="18"/>
                <w:szCs w:val="18"/>
                <w:color w:val="auto"/>
              </w:rPr>
              <w:t>Granted</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377"/>
              <w:spacing w:after="0"/>
              <w:rPr>
                <w:sz w:val="20"/>
                <w:szCs w:val="20"/>
                <w:color w:val="auto"/>
              </w:rPr>
            </w:pPr>
            <w:r>
              <w:rPr>
                <w:rFonts w:ascii="Arial" w:cs="Arial" w:eastAsia="Arial" w:hAnsi="Arial"/>
                <w:sz w:val="18"/>
                <w:szCs w:val="18"/>
                <w:color w:val="auto"/>
              </w:rPr>
              <w:t>$</w:t>
            </w:r>
          </w:p>
        </w:tc>
        <w:tc>
          <w:tcPr>
            <w:tcW w:w="2860" w:type="dxa"/>
            <w:vAlign w:val="bottom"/>
            <w:gridSpan w:val="2"/>
          </w:tcPr>
          <w:p>
            <w:pPr>
              <w:jc w:val="right"/>
              <w:ind w:right="2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Performance condition adjustments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780" w:type="dxa"/>
            <w:vAlign w:val="bottom"/>
            <w:tcBorders>
              <w:bottom w:val="single" w:sz="8" w:color="CCEEFF"/>
            </w:tcBorders>
            <w:shd w:val="clear" w:color="auto" w:fill="CCEEFF"/>
          </w:tcPr>
          <w:p>
            <w:pPr>
              <w:jc w:val="right"/>
              <w:ind w:right="1377"/>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23.30</w:t>
            </w:r>
          </w:p>
        </w:tc>
        <w:tc>
          <w:tcPr>
            <w:tcW w:w="2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gridSpan w:val="2"/>
          </w:tcPr>
          <w:p>
            <w:pPr>
              <w:ind w:left="160"/>
              <w:spacing w:after="0"/>
              <w:rPr>
                <w:sz w:val="20"/>
                <w:szCs w:val="20"/>
                <w:color w:val="auto"/>
              </w:rPr>
            </w:pPr>
            <w:r>
              <w:rPr>
                <w:rFonts w:ascii="Arial" w:cs="Arial" w:eastAsia="Arial" w:hAnsi="Arial"/>
                <w:sz w:val="18"/>
                <w:szCs w:val="18"/>
                <w:color w:val="auto"/>
              </w:rPr>
              <w:t>Released</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377"/>
              <w:spacing w:after="0"/>
              <w:rPr>
                <w:sz w:val="20"/>
                <w:szCs w:val="20"/>
                <w:color w:val="auto"/>
              </w:rPr>
            </w:pPr>
            <w:r>
              <w:rPr>
                <w:rFonts w:ascii="Arial" w:cs="Arial" w:eastAsia="Arial" w:hAnsi="Arial"/>
                <w:sz w:val="18"/>
                <w:szCs w:val="18"/>
                <w:color w:val="auto"/>
              </w:rPr>
              <w:t>$</w:t>
            </w:r>
          </w:p>
        </w:tc>
        <w:tc>
          <w:tcPr>
            <w:tcW w:w="2860" w:type="dxa"/>
            <w:vAlign w:val="bottom"/>
            <w:gridSpan w:val="2"/>
          </w:tcPr>
          <w:p>
            <w:pPr>
              <w:jc w:val="right"/>
              <w:ind w:right="2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377"/>
              <w:spacing w:after="0"/>
              <w:rPr>
                <w:sz w:val="20"/>
                <w:szCs w:val="20"/>
                <w:color w:val="auto"/>
              </w:rPr>
            </w:pPr>
            <w:r>
              <w:rPr>
                <w:rFonts w:ascii="Arial" w:cs="Arial" w:eastAsia="Arial" w:hAnsi="Arial"/>
                <w:sz w:val="18"/>
                <w:szCs w:val="18"/>
                <w:color w:val="auto"/>
              </w:rPr>
              <w:t>$</w:t>
            </w:r>
          </w:p>
        </w:tc>
        <w:tc>
          <w:tcPr>
            <w:tcW w:w="2860" w:type="dxa"/>
            <w:vAlign w:val="bottom"/>
            <w:tcBorders>
              <w:bottom w:val="single" w:sz="8" w:color="CCEEFF"/>
            </w:tcBorders>
            <w:gridSpan w:val="2"/>
            <w:shd w:val="clear" w:color="auto" w:fill="CCEEFF"/>
          </w:tcPr>
          <w:p>
            <w:pPr>
              <w:jc w:val="right"/>
              <w:ind w:right="2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Outstanding at end of period:</w:t>
            </w:r>
          </w:p>
        </w:tc>
        <w:tc>
          <w:tcPr>
            <w:tcW w:w="156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287</w:t>
            </w:r>
          </w:p>
        </w:tc>
        <w:tc>
          <w:tcPr>
            <w:tcW w:w="1780" w:type="dxa"/>
            <w:vAlign w:val="bottom"/>
            <w:tcBorders>
              <w:bottom w:val="single" w:sz="8" w:color="CCEEFF"/>
            </w:tcBorders>
          </w:tcPr>
          <w:p>
            <w:pPr>
              <w:jc w:val="right"/>
              <w:ind w:right="1377"/>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15.83</w:t>
            </w:r>
          </w:p>
        </w:tc>
        <w:tc>
          <w:tcPr>
            <w:tcW w:w="22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7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three months ended March 31, 2017, the Compensation Committee modified the awards issued during the transition period ended December 31, 2016 from a one year performance period to a seven month performance period to align the awards with the change in the Company's fiscal year from May 31 to December 31. Accordingly, for the three months ended March 31, 2017, the Compensation Committee approved these transition period PRSU's, which resulted in a reduction of approximately 3,000 units.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2017, all PRSU's were classified as equity.</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For each of the three months ended March 31, 2017 and March 31, 2016, the Company recognized aggregate share-based compensation expense related to the awards described above of approximately $0.4 million. At March 31, 2017, there was $2.3 million of total unrecognized compensation costs related to 287,000 non-vested performance restricted stock units, which are expected to be recognized over a remaining weighted average period of 1.8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80" w:hanging="672"/>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70"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Basic earnings per share is computed by dividing net income by the weighted-average number of shares outstanding during the period. Diluted earnings per share is computed by dividing net income by the sum of (1) the weighted-average number of shares of common stock outstanding during the period, and</w:t>
      </w:r>
    </w:p>
    <w:p>
      <w:pPr>
        <w:ind w:right="200" w:firstLine="8"/>
        <w:spacing w:after="0" w:line="277" w:lineRule="auto"/>
        <w:tabs>
          <w:tab w:leader="none" w:pos="255"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dilutive effect of assumed conversion of equity awards using the treasury stock method. With respect to the number of weighted-average shares outstanding (denominator), diluted shares reflects: (i) the exercise of options to acquire common stock to the extent that the options’ exercise prices are less than the average market price of common shares during the period and (ii) the pro forma vesting of restricted stock units.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computations of basic and diluted earnings per share: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3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47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2017</w:t>
            </w:r>
          </w:p>
        </w:tc>
        <w:tc>
          <w:tcPr>
            <w:tcW w:w="220" w:type="dxa"/>
            <w:vAlign w:val="bottom"/>
          </w:tcPr>
          <w:p>
            <w:pPr>
              <w:spacing w:after="0"/>
              <w:rPr>
                <w:sz w:val="22"/>
                <w:szCs w:val="22"/>
                <w:color w:val="auto"/>
              </w:rPr>
            </w:pPr>
          </w:p>
        </w:tc>
        <w:tc>
          <w:tcPr>
            <w:tcW w:w="1380" w:type="dxa"/>
            <w:vAlign w:val="bottom"/>
          </w:tcPr>
          <w:p>
            <w:pPr>
              <w:jc w:val="right"/>
              <w:ind w:right="232"/>
              <w:spacing w:after="0"/>
              <w:rPr>
                <w:sz w:val="20"/>
                <w:szCs w:val="20"/>
                <w:color w:val="auto"/>
              </w:rPr>
            </w:pPr>
            <w:r>
              <w:rPr>
                <w:rFonts w:ascii="Arial" w:cs="Arial" w:eastAsia="Arial" w:hAnsi="Arial"/>
                <w:sz w:val="14"/>
                <w:szCs w:val="14"/>
                <w:b w:val="1"/>
                <w:bCs w:val="1"/>
                <w:color w:val="auto"/>
              </w:rPr>
              <w:t>March 31, 2016</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3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Numerator:</w:t>
            </w:r>
          </w:p>
        </w:tc>
        <w:tc>
          <w:tcPr>
            <w:tcW w:w="3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Mistras Group, Inc.</w:t>
            </w:r>
          </w:p>
        </w:tc>
        <w:tc>
          <w:tcPr>
            <w:tcW w:w="36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3,447</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3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34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28,687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28,915</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earnings per share</w:t>
            </w:r>
          </w:p>
        </w:tc>
        <w:tc>
          <w:tcPr>
            <w:tcW w:w="34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84"/>
        </w:trPr>
        <w:tc>
          <w:tcPr>
            <w:tcW w:w="4720" w:type="dxa"/>
            <w:vAlign w:val="bottom"/>
            <w:shd w:val="clear" w:color="auto" w:fill="CCEEFF"/>
          </w:tcPr>
          <w:p>
            <w:pPr>
              <w:spacing w:after="0"/>
              <w:rPr>
                <w:sz w:val="24"/>
                <w:szCs w:val="24"/>
                <w:color w:val="auto"/>
              </w:rPr>
            </w:pPr>
          </w:p>
        </w:tc>
        <w:tc>
          <w:tcPr>
            <w:tcW w:w="34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3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Net income attributable to Mistras Group, Inc.</w:t>
            </w:r>
          </w:p>
        </w:tc>
        <w:tc>
          <w:tcPr>
            <w:tcW w:w="36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1,692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3,447</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3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3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28,687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28,915</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effect of stock options outstanding</w:t>
            </w:r>
          </w:p>
        </w:tc>
        <w:tc>
          <w:tcPr>
            <w:tcW w:w="3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43"/>
        </w:trPr>
        <w:tc>
          <w:tcPr>
            <w:tcW w:w="4720" w:type="dxa"/>
            <w:vAlign w:val="bottom"/>
          </w:tcPr>
          <w:p>
            <w:pPr>
              <w:ind w:left="180"/>
              <w:spacing w:after="0"/>
              <w:rPr>
                <w:sz w:val="20"/>
                <w:szCs w:val="20"/>
                <w:color w:val="auto"/>
              </w:rPr>
            </w:pPr>
            <w:r>
              <w:rPr>
                <w:rFonts w:ascii="Arial" w:cs="Arial" w:eastAsia="Arial" w:hAnsi="Arial"/>
                <w:sz w:val="18"/>
                <w:szCs w:val="18"/>
                <w:color w:val="auto"/>
              </w:rPr>
              <w:t>Dilutive effect of restricted stock units outstanding</w:t>
            </w:r>
          </w:p>
        </w:tc>
        <w:tc>
          <w:tcPr>
            <w:tcW w:w="3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20" w:type="dxa"/>
            <w:vAlign w:val="bottom"/>
            <w:tcBorders>
              <w:bottom w:val="single" w:sz="8" w:color="CCEEFF"/>
            </w:tcBorders>
            <w:shd w:val="clear" w:color="auto" w:fill="CCEEFF"/>
          </w:tcPr>
          <w:p>
            <w:pPr>
              <w:spacing w:after="0"/>
              <w:rPr>
                <w:sz w:val="22"/>
                <w:szCs w:val="22"/>
                <w:color w:val="auto"/>
              </w:rPr>
            </w:pPr>
          </w:p>
        </w:tc>
        <w:tc>
          <w:tcPr>
            <w:tcW w:w="34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29,980</w:t>
            </w:r>
          </w:p>
        </w:tc>
        <w:tc>
          <w:tcPr>
            <w:tcW w:w="0" w:type="dxa"/>
            <w:vAlign w:val="bottom"/>
          </w:tcPr>
          <w:p>
            <w:pPr>
              <w:spacing w:after="0"/>
              <w:rPr>
                <w:sz w:val="1"/>
                <w:szCs w:val="1"/>
                <w:color w:val="auto"/>
              </w:rPr>
            </w:pPr>
          </w:p>
        </w:tc>
      </w:tr>
      <w:tr>
        <w:trPr>
          <w:trHeight w:val="257"/>
        </w:trPr>
        <w:tc>
          <w:tcPr>
            <w:tcW w:w="472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34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400" w:type="dxa"/>
            <w:vAlign w:val="bottom"/>
            <w:vMerge w:val="restart"/>
          </w:tcPr>
          <w:p>
            <w:pPr>
              <w:jc w:val="right"/>
              <w:ind w:right="2230"/>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2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80" w:hanging="672"/>
        <w:spacing w:after="0"/>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the three months ended March 31, 2017, the Company completed one acquisition of a company located in the U.S. that provides NDT, chemical and special processing services.</w:t>
      </w:r>
    </w:p>
    <w:p>
      <w:pPr>
        <w:spacing w:after="0" w:line="17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this acquisition, the Company acquired assets of the acquiree in exchange for aggregate consideration of $4.5 million in cash, and contingent consideration up to $3.5 million to be earned based upon the acquired business achieving specific performance metrics over the initial three years of operations from the acquisition date. The Company accounted for this transaction in accordance with the acquisition method of accounting for business combinations.</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is continuing its review of the fair value estimate of assets acquired and liabilities assumed for three entities acquired in the transition period ended December 31, 2016. This process will conclude as soon as the Company finalizes information regarding facts and circumstances that existed as of the acquisition date. Goodwill and intangibles for these three entities totaled $4.1 million and $3.4 million, respectively. This measurement period will not exceed one year from their respective acquisition dates.</w:t>
      </w:r>
    </w:p>
    <w:p>
      <w:pPr>
        <w:spacing w:after="0" w:line="18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assets and liabilities of the business acquired in 2017 were included in the Company's condensed consolidated balance sheet based upon their estimated fair value on the date of acquisition as determined in a preliminary purchase price allocation, using available information and making assumptions management believes are reasonable. The Company is still in the process of completing its valuation of the assets, both tangible and intangible acquired. The results of operations for this acquisition are included in the Services segment's results from the date of acquisition. The goodwill of $3.3 million primarily relates to expected synergies and assembled workforce and is generally deductible for tax purposes.</w:t>
      </w:r>
    </w:p>
    <w:p>
      <w:pPr>
        <w:spacing w:after="0" w:line="17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Company's preliminary purchase price allocations are included in the table below, summarizing the estimated fair value of the assets acquired and liabilities assumed at the date of acquisition:</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6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rPr>
              <w:t>2017</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Number of Entities</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9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Consideration transferred:</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Cash paid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4,500</w:t>
            </w:r>
          </w:p>
        </w:tc>
      </w:tr>
      <w:tr>
        <w:trPr>
          <w:trHeight w:val="27"/>
        </w:trPr>
        <w:tc>
          <w:tcPr>
            <w:tcW w:w="9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payable</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2,508</w:t>
            </w:r>
          </w:p>
        </w:tc>
      </w:tr>
      <w:tr>
        <w:trPr>
          <w:trHeight w:val="27"/>
        </w:trPr>
        <w:tc>
          <w:tcPr>
            <w:tcW w:w="96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Consideration transferred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7,008</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9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845</w:t>
            </w:r>
          </w:p>
        </w:tc>
      </w:tr>
      <w:tr>
        <w:trPr>
          <w:trHeight w:val="27"/>
        </w:trPr>
        <w:tc>
          <w:tcPr>
            <w:tcW w:w="9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2,742</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3,326</w:t>
            </w:r>
          </w:p>
        </w:tc>
      </w:tr>
      <w:tr>
        <w:trPr>
          <w:trHeight w:val="27"/>
        </w:trPr>
        <w:tc>
          <w:tcPr>
            <w:tcW w:w="9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Long-term deferred tax asset</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95</w:t>
            </w:r>
          </w:p>
        </w:tc>
      </w:tr>
      <w:tr>
        <w:trPr>
          <w:trHeight w:val="27"/>
        </w:trPr>
        <w:tc>
          <w:tcPr>
            <w:tcW w:w="96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7,008</w:t>
            </w:r>
          </w:p>
        </w:tc>
      </w:tr>
      <w:tr>
        <w:trPr>
          <w:trHeight w:val="20"/>
        </w:trPr>
        <w:tc>
          <w:tcPr>
            <w:tcW w:w="9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Revenues and operating income included in the condensed consolidated statement of operations for 2017 from this acquisition for the period subsequent to the closing of this transaction was approximately $0.3 million and $0.1 million, respectively. As this acquisition was immaterial to the Company's 2017 results, no unaudited pro forma financial information has been included in this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2016, the Company did not complete any acquisitions.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Expense</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the course of its acquisition activities, the Company incurs costs in connection with due diligence, professional fees, and other expenses. Additionally, the Company adjusts the fair value of acquisition-related contingent consideration liabilities on a quarterly basis. These amounts are recorded as acquisition-related (benefit) expense, net, on the condensed consolidated statements of income and were as follows for the three months ended March 31, 2017 and 2016:</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10"/>
          </w:tcPr>
          <w:p>
            <w:pPr>
              <w:jc w:val="right"/>
              <w:ind w:right="1480"/>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264"/>
        </w:trPr>
        <w:tc>
          <w:tcPr>
            <w:tcW w:w="160" w:type="dxa"/>
            <w:vAlign w:val="bottom"/>
            <w:tcBorders>
              <w:bottom w:val="single" w:sz="8" w:color="CCEEFF"/>
            </w:tcBorders>
          </w:tcPr>
          <w:p>
            <w:pPr>
              <w:spacing w:after="0"/>
              <w:rPr>
                <w:sz w:val="22"/>
                <w:szCs w:val="22"/>
                <w:color w:val="auto"/>
              </w:rPr>
            </w:pPr>
          </w:p>
        </w:tc>
        <w:tc>
          <w:tcPr>
            <w:tcW w:w="53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gridSpan w:val="2"/>
          </w:tcPr>
          <w:p>
            <w:pPr>
              <w:jc w:val="center"/>
              <w:ind w:left="32"/>
              <w:spacing w:after="0"/>
              <w:rPr>
                <w:sz w:val="20"/>
                <w:szCs w:val="20"/>
                <w:color w:val="auto"/>
              </w:rPr>
            </w:pPr>
            <w:r>
              <w:rPr>
                <w:rFonts w:ascii="Arial" w:cs="Arial" w:eastAsia="Arial" w:hAnsi="Arial"/>
                <w:sz w:val="14"/>
                <w:szCs w:val="14"/>
                <w:b w:val="1"/>
                <w:bCs w:val="1"/>
                <w:color w:val="auto"/>
                <w:w w:val="89"/>
              </w:rPr>
              <w:t>2017</w:t>
            </w:r>
          </w:p>
        </w:tc>
        <w:tc>
          <w:tcPr>
            <w:tcW w:w="9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913"/>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Due diligence, professional fees and other transaction costs</w:t>
            </w:r>
          </w:p>
        </w:tc>
        <w:tc>
          <w:tcPr>
            <w:tcW w:w="1840" w:type="dxa"/>
            <w:vAlign w:val="bottom"/>
            <w:tcBorders>
              <w:bottom w:val="single" w:sz="8" w:color="CCEEFF"/>
            </w:tcBorders>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60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Adjustments to fair value of contingent consideration liabilities</w:t>
            </w:r>
          </w:p>
        </w:tc>
        <w:tc>
          <w:tcPr>
            <w:tcW w:w="10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(625)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gridSpan w:val="2"/>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Acquisition-related expense (benefit), net</w:t>
            </w:r>
          </w:p>
        </w:tc>
        <w:tc>
          <w:tcPr>
            <w:tcW w:w="184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w w:val="92"/>
              </w:rPr>
              <w:t>5.</w:t>
            </w:r>
          </w:p>
        </w:tc>
        <w:tc>
          <w:tcPr>
            <w:tcW w:w="5360" w:type="dxa"/>
            <w:vAlign w:val="bottom"/>
            <w:tcBorders>
              <w:top w:val="single" w:sz="8" w:color="CCEEFF"/>
              <w:bottom w:val="single" w:sz="8" w:color="CCEEFF"/>
            </w:tcBorders>
            <w:vMerge w:val="restart"/>
          </w:tcPr>
          <w:p>
            <w:pPr>
              <w:ind w:left="520"/>
              <w:spacing w:after="0"/>
              <w:rPr>
                <w:sz w:val="20"/>
                <w:szCs w:val="20"/>
                <w:color w:val="auto"/>
              </w:rPr>
            </w:pPr>
            <w:r>
              <w:rPr>
                <w:rFonts w:ascii="Arial" w:cs="Arial" w:eastAsia="Arial" w:hAnsi="Arial"/>
                <w:sz w:val="18"/>
                <w:szCs w:val="18"/>
                <w:b w:val="1"/>
                <w:bCs w:val="1"/>
                <w:color w:val="auto"/>
              </w:rPr>
              <w:t>Accounts Receivable, net</w:t>
            </w:r>
          </w:p>
        </w:tc>
        <w:tc>
          <w:tcPr>
            <w:tcW w:w="10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160" w:type="dxa"/>
            <w:vAlign w:val="bottom"/>
            <w:vMerge w:val="continue"/>
          </w:tcPr>
          <w:p>
            <w:pPr>
              <w:spacing w:after="0"/>
              <w:rPr>
                <w:sz w:val="24"/>
                <w:szCs w:val="24"/>
                <w:color w:val="auto"/>
              </w:rPr>
            </w:pPr>
          </w:p>
        </w:tc>
        <w:tc>
          <w:tcPr>
            <w:tcW w:w="53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520" w:type="dxa"/>
            <w:vAlign w:val="bottom"/>
            <w:gridSpan w:val="2"/>
          </w:tcPr>
          <w:p>
            <w:pPr>
              <w:spacing w:after="0"/>
              <w:rPr>
                <w:sz w:val="20"/>
                <w:szCs w:val="20"/>
                <w:color w:val="auto"/>
              </w:rPr>
            </w:pPr>
            <w:r>
              <w:rPr>
                <w:rFonts w:ascii="Arial" w:cs="Arial" w:eastAsia="Arial" w:hAnsi="Arial"/>
                <w:sz w:val="18"/>
                <w:szCs w:val="18"/>
                <w:color w:val="auto"/>
              </w:rPr>
              <w:t>Accounts receivable consisted of the following:</w:t>
            </w: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1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March 31, 2017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December 31, 2016</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10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128,056</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133,704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Allowance for doubtful accounts</w:t>
            </w:r>
          </w:p>
        </w:tc>
        <w:tc>
          <w:tcPr>
            <w:tcW w:w="10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(3,835)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(2,852)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60" w:type="dxa"/>
            <w:vAlign w:val="bottom"/>
            <w:tcBorders>
              <w:bottom w:val="single" w:sz="8" w:color="CCEEFF"/>
            </w:tcBorders>
            <w:shd w:val="clear" w:color="auto" w:fill="CCEEFF"/>
          </w:tcPr>
          <w:p>
            <w:pPr>
              <w:spacing w:after="0"/>
              <w:rPr>
                <w:sz w:val="22"/>
                <w:szCs w:val="22"/>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0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3"/>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124,221</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130,852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w w:val="92"/>
              </w:rPr>
              <w:t>6.</w:t>
            </w:r>
          </w:p>
        </w:tc>
        <w:tc>
          <w:tcPr>
            <w:tcW w:w="5360" w:type="dxa"/>
            <w:vAlign w:val="bottom"/>
            <w:tcBorders>
              <w:top w:val="single" w:sz="8" w:color="CCEEFF"/>
              <w:bottom w:val="single" w:sz="8" w:color="CCEEFF"/>
            </w:tcBorders>
            <w:vMerge w:val="restart"/>
          </w:tcPr>
          <w:p>
            <w:pPr>
              <w:ind w:left="520"/>
              <w:spacing w:after="0"/>
              <w:rPr>
                <w:sz w:val="20"/>
                <w:szCs w:val="20"/>
                <w:color w:val="auto"/>
              </w:rPr>
            </w:pPr>
            <w:r>
              <w:rPr>
                <w:rFonts w:ascii="Arial" w:cs="Arial" w:eastAsia="Arial" w:hAnsi="Arial"/>
                <w:sz w:val="18"/>
                <w:szCs w:val="18"/>
                <w:b w:val="1"/>
                <w:bCs w:val="1"/>
                <w:color w:val="auto"/>
              </w:rPr>
              <w:t>Property, Plant and Equipment, net</w:t>
            </w:r>
          </w:p>
        </w:tc>
        <w:tc>
          <w:tcPr>
            <w:tcW w:w="10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60" w:type="dxa"/>
            <w:vAlign w:val="bottom"/>
            <w:vMerge w:val="continue"/>
          </w:tcPr>
          <w:p>
            <w:pPr>
              <w:spacing w:after="0"/>
              <w:rPr>
                <w:sz w:val="24"/>
                <w:szCs w:val="24"/>
                <w:color w:val="auto"/>
              </w:rPr>
            </w:pPr>
          </w:p>
        </w:tc>
        <w:tc>
          <w:tcPr>
            <w:tcW w:w="53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520" w:type="dxa"/>
            <w:vAlign w:val="bottom"/>
            <w:gridSpan w:val="2"/>
          </w:tcPr>
          <w:p>
            <w:pPr>
              <w:spacing w:after="0"/>
              <w:rPr>
                <w:sz w:val="20"/>
                <w:szCs w:val="20"/>
                <w:color w:val="auto"/>
              </w:rPr>
            </w:pPr>
            <w:r>
              <w:rPr>
                <w:rFonts w:ascii="Arial" w:cs="Arial" w:eastAsia="Arial" w:hAnsi="Arial"/>
                <w:sz w:val="18"/>
                <w:szCs w:val="18"/>
                <w:color w:val="auto"/>
              </w:rPr>
              <w:t>Property, plant and equipment consisted of the following:</w:t>
            </w: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1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84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Useful Life</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gridSpan w:val="5"/>
            <w:vMerge w:val="restart"/>
          </w:tcPr>
          <w:p>
            <w:pPr>
              <w:jc w:val="right"/>
              <w:ind w:right="540"/>
              <w:spacing w:after="0"/>
              <w:rPr>
                <w:sz w:val="20"/>
                <w:szCs w:val="20"/>
                <w:color w:val="auto"/>
              </w:rPr>
            </w:pPr>
            <w:r>
              <w:rPr>
                <w:rFonts w:ascii="Arial" w:cs="Arial" w:eastAsia="Arial" w:hAnsi="Arial"/>
                <w:sz w:val="14"/>
                <w:szCs w:val="14"/>
                <w:b w:val="1"/>
                <w:bCs w:val="1"/>
                <w:color w:val="auto"/>
              </w:rPr>
              <w:t>March 31, 2017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jc w:val="right"/>
              <w:ind w:right="268"/>
              <w:spacing w:after="0"/>
              <w:rPr>
                <w:sz w:val="20"/>
                <w:szCs w:val="20"/>
                <w:color w:val="auto"/>
              </w:rPr>
            </w:pPr>
            <w:r>
              <w:rPr>
                <w:rFonts w:ascii="Arial" w:cs="Arial" w:eastAsia="Arial" w:hAnsi="Arial"/>
                <w:sz w:val="14"/>
                <w:szCs w:val="14"/>
                <w:b w:val="1"/>
                <w:bCs w:val="1"/>
                <w:color w:val="auto"/>
              </w:rPr>
              <w:t>(Years)</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5"/>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0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Buildings and improvements</w:t>
            </w:r>
          </w:p>
        </w:tc>
        <w:tc>
          <w:tcPr>
            <w:tcW w:w="1840" w:type="dxa"/>
            <w:vAlign w:val="bottom"/>
            <w:gridSpan w:val="2"/>
          </w:tcPr>
          <w:p>
            <w:pPr>
              <w:jc w:val="center"/>
              <w:ind w:left="653"/>
              <w:spacing w:after="0"/>
              <w:rPr>
                <w:sz w:val="20"/>
                <w:szCs w:val="20"/>
                <w:color w:val="auto"/>
              </w:rPr>
            </w:pPr>
            <w:r>
              <w:rPr>
                <w:rFonts w:ascii="Arial" w:cs="Arial" w:eastAsia="Arial" w:hAnsi="Arial"/>
                <w:sz w:val="18"/>
                <w:szCs w:val="18"/>
                <w:color w:val="auto"/>
                <w:w w:val="91"/>
              </w:rPr>
              <w:t>30-40</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w w:val="87"/>
              </w:rPr>
              <w:t>19,896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19,261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gridSpan w:val="2"/>
          </w:tcPr>
          <w:p>
            <w:pPr>
              <w:spacing w:after="0"/>
              <w:rPr>
                <w:sz w:val="2"/>
                <w:szCs w:val="2"/>
                <w:color w:val="auto"/>
              </w:rPr>
            </w:pPr>
          </w:p>
        </w:tc>
        <w:tc>
          <w:tcPr>
            <w:tcW w:w="18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Office furniture and equipment</w:t>
            </w:r>
          </w:p>
        </w:tc>
        <w:tc>
          <w:tcPr>
            <w:tcW w:w="1840" w:type="dxa"/>
            <w:vAlign w:val="bottom"/>
            <w:tcBorders>
              <w:bottom w:val="single" w:sz="8" w:color="CCEEFF"/>
            </w:tcBorders>
            <w:gridSpan w:val="2"/>
            <w:shd w:val="clear" w:color="auto" w:fill="CCEEFF"/>
          </w:tcPr>
          <w:p>
            <w:pPr>
              <w:jc w:val="center"/>
              <w:ind w:left="633"/>
              <w:spacing w:after="0"/>
              <w:rPr>
                <w:sz w:val="20"/>
                <w:szCs w:val="20"/>
                <w:color w:val="auto"/>
              </w:rPr>
            </w:pPr>
            <w:r>
              <w:rPr>
                <w:rFonts w:ascii="Arial" w:cs="Arial" w:eastAsia="Arial" w:hAnsi="Arial"/>
                <w:sz w:val="18"/>
                <w:szCs w:val="18"/>
                <w:color w:val="auto"/>
                <w:w w:val="92"/>
              </w:rPr>
              <w:t>5-8</w:t>
            </w: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7"/>
              </w:rPr>
              <w:t>12,850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12,574</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Machinery and equipment</w:t>
            </w:r>
          </w:p>
        </w:tc>
        <w:tc>
          <w:tcPr>
            <w:tcW w:w="1840" w:type="dxa"/>
            <w:vAlign w:val="bottom"/>
            <w:gridSpan w:val="2"/>
          </w:tcPr>
          <w:p>
            <w:pPr>
              <w:jc w:val="center"/>
              <w:ind w:left="633"/>
              <w:spacing w:after="0"/>
              <w:rPr>
                <w:sz w:val="20"/>
                <w:szCs w:val="20"/>
                <w:color w:val="auto"/>
              </w:rPr>
            </w:pPr>
            <w:r>
              <w:rPr>
                <w:rFonts w:ascii="Arial" w:cs="Arial" w:eastAsia="Arial" w:hAnsi="Arial"/>
                <w:sz w:val="18"/>
                <w:szCs w:val="18"/>
                <w:color w:val="auto"/>
                <w:w w:val="92"/>
              </w:rPr>
              <w:t>5-7</w:t>
            </w:r>
          </w:p>
        </w:tc>
        <w:tc>
          <w:tcPr>
            <w:tcW w:w="2120" w:type="dxa"/>
            <w:vAlign w:val="bottom"/>
            <w:gridSpan w:val="6"/>
          </w:tcPr>
          <w:p>
            <w:pPr>
              <w:jc w:val="right"/>
              <w:ind w:right="100"/>
              <w:spacing w:after="0"/>
              <w:rPr>
                <w:sz w:val="20"/>
                <w:szCs w:val="20"/>
                <w:color w:val="auto"/>
              </w:rPr>
            </w:pPr>
            <w:r>
              <w:rPr>
                <w:rFonts w:ascii="Arial" w:cs="Arial" w:eastAsia="Arial" w:hAnsi="Arial"/>
                <w:sz w:val="18"/>
                <w:szCs w:val="18"/>
                <w:color w:val="auto"/>
              </w:rPr>
              <w:t>170,544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166,423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6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205,007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199,972</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10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120" w:type="dxa"/>
            <w:vAlign w:val="bottom"/>
            <w:gridSpan w:val="6"/>
          </w:tcPr>
          <w:p>
            <w:pPr>
              <w:jc w:val="right"/>
              <w:ind w:right="40"/>
              <w:spacing w:after="0"/>
              <w:rPr>
                <w:sz w:val="20"/>
                <w:szCs w:val="20"/>
                <w:color w:val="auto"/>
              </w:rPr>
            </w:pPr>
            <w:r>
              <w:rPr>
                <w:rFonts w:ascii="Arial" w:cs="Arial" w:eastAsia="Arial" w:hAnsi="Arial"/>
                <w:sz w:val="18"/>
                <w:szCs w:val="18"/>
                <w:color w:val="auto"/>
              </w:rPr>
              <w:t>(132,109)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(126,823)</w:t>
            </w:r>
          </w:p>
        </w:tc>
        <w:tc>
          <w:tcPr>
            <w:tcW w:w="0" w:type="dxa"/>
            <w:vAlign w:val="bottom"/>
          </w:tcPr>
          <w:p>
            <w:pPr>
              <w:spacing w:after="0"/>
              <w:rPr>
                <w:sz w:val="1"/>
                <w:szCs w:val="1"/>
                <w:color w:val="auto"/>
              </w:rPr>
            </w:pPr>
          </w:p>
        </w:tc>
      </w:tr>
      <w:tr>
        <w:trPr>
          <w:trHeight w:val="27"/>
        </w:trPr>
        <w:tc>
          <w:tcPr>
            <w:tcW w:w="16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60" w:type="dxa"/>
            <w:vAlign w:val="bottom"/>
            <w:shd w:val="clear" w:color="auto" w:fill="CCEEFF"/>
          </w:tcPr>
          <w:p>
            <w:pPr>
              <w:spacing w:after="0"/>
              <w:rPr>
                <w:sz w:val="22"/>
                <w:szCs w:val="22"/>
                <w:color w:val="auto"/>
              </w:rPr>
            </w:pPr>
          </w:p>
        </w:tc>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0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spacing w:after="0"/>
              <w:rPr>
                <w:sz w:val="22"/>
                <w:szCs w:val="22"/>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7"/>
              </w:rPr>
              <w:t>72,898</w:t>
            </w:r>
          </w:p>
        </w:tc>
        <w:tc>
          <w:tcPr>
            <w:tcW w:w="12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73,149</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CCEEFF"/>
            </w:tcBorders>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three months ended March 31, 2017 and March 31, 2016 was $5.5 million and $5.6 million, respectively.</w:t>
      </w:r>
    </w:p>
    <w:p>
      <w:pPr>
        <w:spacing w:after="0" w:line="221"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by segment is shown below:</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w w:val="99"/>
              </w:rPr>
              <w:t>Products and Systems</w:t>
            </w:r>
          </w:p>
        </w:tc>
        <w:tc>
          <w:tcPr>
            <w:tcW w:w="340" w:type="dxa"/>
            <w:vAlign w:val="bottom"/>
          </w:tcPr>
          <w:p>
            <w:pPr>
              <w:spacing w:after="0"/>
              <w:rPr>
                <w:sz w:val="16"/>
                <w:szCs w:val="16"/>
                <w:color w:val="auto"/>
              </w:rPr>
            </w:pPr>
          </w:p>
        </w:tc>
        <w:tc>
          <w:tcPr>
            <w:tcW w:w="1140" w:type="dxa"/>
            <w:vAlign w:val="bottom"/>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63"/>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123,392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33,351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13,197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169,940</w:t>
            </w:r>
          </w:p>
        </w:tc>
      </w:tr>
      <w:tr>
        <w:trPr>
          <w:trHeight w:val="20"/>
        </w:trPr>
        <w:tc>
          <w:tcPr>
            <w:tcW w:w="5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0"/>
        </w:trPr>
        <w:tc>
          <w:tcPr>
            <w:tcW w:w="5140" w:type="dxa"/>
            <w:vAlign w:val="bottom"/>
          </w:tcPr>
          <w:p>
            <w:pPr>
              <w:ind w:left="40"/>
              <w:spacing w:after="0"/>
              <w:rPr>
                <w:sz w:val="20"/>
                <w:szCs w:val="20"/>
                <w:color w:val="auto"/>
              </w:rPr>
            </w:pPr>
            <w:r>
              <w:rPr>
                <w:rFonts w:ascii="Arial" w:cs="Arial" w:eastAsia="Arial" w:hAnsi="Arial"/>
                <w:sz w:val="18"/>
                <w:szCs w:val="18"/>
                <w:color w:val="auto"/>
              </w:rPr>
              <w:t>Goodwill acquired during the period</w:t>
            </w:r>
          </w:p>
        </w:tc>
        <w:tc>
          <w:tcPr>
            <w:tcW w:w="320" w:type="dxa"/>
            <w:vAlign w:val="bottom"/>
          </w:tcPr>
          <w:p>
            <w:pPr>
              <w:spacing w:after="0"/>
              <w:rPr>
                <w:sz w:val="20"/>
                <w:szCs w:val="20"/>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3,326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3,326</w:t>
            </w:r>
          </w:p>
        </w:tc>
      </w:tr>
      <w:tr>
        <w:trPr>
          <w:trHeight w:val="27"/>
        </w:trPr>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preliminary purchase price allocations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32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641</w:t>
            </w:r>
          </w:p>
        </w:tc>
      </w:tr>
      <w:tr>
        <w:trPr>
          <w:trHeight w:val="27"/>
        </w:trPr>
        <w:tc>
          <w:tcPr>
            <w:tcW w:w="5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2017</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126,829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33,881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13,197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173,907</w:t>
            </w:r>
          </w:p>
        </w:tc>
      </w:tr>
      <w:tr>
        <w:trPr>
          <w:trHeight w:val="20"/>
        </w:trPr>
        <w:tc>
          <w:tcPr>
            <w:tcW w:w="5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reviews goodwill for impairment on a reporting unit basis on October 1 of each year and whenever events or changes in circumstances indicate the carrying value of goodwill may not be recoverable. As of March 31, 2017, the Company did not identify any changes in circumstances that would indicate the carrying value of goodwill may not be recoverable.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Company's cumulative goodwill impairment as of March 31, 2017 and December 31, 2016 was $9.9 million, which is within its International segment.</w:t>
      </w:r>
    </w:p>
    <w:p>
      <w:pPr>
        <w:spacing w:after="0" w:line="244" w:lineRule="exact"/>
        <w:rPr>
          <w:sz w:val="20"/>
          <w:szCs w:val="20"/>
          <w:color w:val="auto"/>
        </w:rPr>
      </w:pPr>
    </w:p>
    <w:p>
      <w:pPr>
        <w:ind w:left="680" w:hanging="672"/>
        <w:spacing w:after="0"/>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gross amount, accumulated amortization and net carrying amount of intangible assets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4"/>
              </w:rPr>
              <w:t>March 31, 2017</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40" w:type="dxa"/>
            <w:vAlign w:val="bottom"/>
          </w:tcPr>
          <w:p>
            <w:pPr>
              <w:spacing w:after="0"/>
              <w:rPr>
                <w:sz w:val="13"/>
                <w:szCs w:val="13"/>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Useful Life</w:t>
            </w:r>
          </w:p>
        </w:tc>
        <w:tc>
          <w:tcPr>
            <w:tcW w:w="220" w:type="dxa"/>
            <w:vAlign w:val="bottom"/>
          </w:tcPr>
          <w:p>
            <w:pPr>
              <w:spacing w:after="0"/>
              <w:rPr>
                <w:sz w:val="13"/>
                <w:szCs w:val="13"/>
                <w:color w:val="auto"/>
              </w:rPr>
            </w:pPr>
          </w:p>
        </w:tc>
        <w:tc>
          <w:tcPr>
            <w:tcW w:w="10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3"/>
                <w:szCs w:val="13"/>
                <w:color w:val="auto"/>
              </w:rPr>
            </w:pPr>
          </w:p>
        </w:tc>
        <w:tc>
          <w:tcPr>
            <w:tcW w:w="9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94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(Years)</w:t>
            </w:r>
          </w:p>
        </w:tc>
        <w:tc>
          <w:tcPr>
            <w:tcW w:w="22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920" w:type="dxa"/>
            <w:vAlign w:val="bottom"/>
          </w:tcPr>
          <w:p>
            <w:pPr>
              <w:jc w:val="right"/>
              <w:ind w:right="235"/>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6"/>
                <w:szCs w:val="16"/>
                <w:color w:val="auto"/>
              </w:rPr>
            </w:pPr>
          </w:p>
        </w:tc>
        <w:tc>
          <w:tcPr>
            <w:tcW w:w="94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84,218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32,172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81,559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31,142</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Software/Technology</w:t>
            </w: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3-15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18,525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5,583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18,128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5,551</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Covenants not to compete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11,540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11,143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Other</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7,415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1,754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7,266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121,698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(80,472)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41,226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118,096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(78,089)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40,007</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three months ended March 31, 2017 and March 31, 2016 was $2.2 million and $2.4 million, respectively.</w:t>
      </w:r>
    </w:p>
    <w:p>
      <w:pPr>
        <w:spacing w:after="0" w:line="221" w:lineRule="exact"/>
        <w:rPr>
          <w:sz w:val="20"/>
          <w:szCs w:val="20"/>
          <w:color w:val="auto"/>
        </w:rPr>
      </w:pPr>
    </w:p>
    <w:p>
      <w:pPr>
        <w:ind w:left="680" w:hanging="672"/>
        <w:spacing w:after="0"/>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2017</w:t>
            </w:r>
          </w:p>
        </w:tc>
        <w:tc>
          <w:tcPr>
            <w:tcW w:w="200" w:type="dxa"/>
            <w:vAlign w:val="bottom"/>
          </w:tcPr>
          <w:p>
            <w:pPr>
              <w:spacing w:after="0"/>
              <w:rPr>
                <w:sz w:val="16"/>
                <w:szCs w:val="16"/>
                <w:color w:val="auto"/>
              </w:rPr>
            </w:pPr>
          </w:p>
        </w:tc>
        <w:tc>
          <w:tcPr>
            <w:tcW w:w="1500" w:type="dxa"/>
            <w:vAlign w:val="bottom"/>
          </w:tcPr>
          <w:p>
            <w:pPr>
              <w:jc w:val="right"/>
              <w:ind w:right="172"/>
              <w:spacing w:after="0"/>
              <w:rPr>
                <w:sz w:val="20"/>
                <w:szCs w:val="20"/>
                <w:color w:val="auto"/>
              </w:rPr>
            </w:pPr>
            <w:r>
              <w:rPr>
                <w:rFonts w:ascii="Arial" w:cs="Arial" w:eastAsia="Arial" w:hAnsi="Arial"/>
                <w:sz w:val="14"/>
                <w:szCs w:val="14"/>
                <w:b w:val="1"/>
                <w:bCs w:val="1"/>
                <w:color w:val="auto"/>
                <w:w w:val="96"/>
              </w:rPr>
              <w:t>December 31, 2016</w:t>
            </w:r>
          </w:p>
        </w:tc>
      </w:tr>
      <w:tr>
        <w:trPr>
          <w:trHeight w:val="162"/>
        </w:trPr>
        <w:tc>
          <w:tcPr>
            <w:tcW w:w="79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salaries, wages and related employee benefits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23,442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Contingent consideration, current portion</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3,044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1,826</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workers’ compensation and health benefits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6,351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4,740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3,743</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Legal settlement accrual</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6,320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16,536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17,015</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accrued expenses and other liabilities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53,637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58,697</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80" w:hanging="672"/>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2017</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2016</w:t>
            </w:r>
          </w:p>
        </w:tc>
      </w:tr>
      <w:tr>
        <w:trPr>
          <w:trHeight w:val="175"/>
        </w:trPr>
        <w:tc>
          <w:tcPr>
            <w:tcW w:w="8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credit facility</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92,966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82,776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Notes payable</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320</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4,200</w:t>
            </w: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Total debt</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97,808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87,296</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(1,379)</w:t>
            </w:r>
          </w:p>
        </w:tc>
      </w:tr>
      <w:tr>
        <w:trPr>
          <w:trHeight w:val="257"/>
        </w:trPr>
        <w:tc>
          <w:tcPr>
            <w:tcW w:w="8120" w:type="dxa"/>
            <w:vAlign w:val="bottom"/>
          </w:tcPr>
          <w:p>
            <w:pPr>
              <w:ind w:left="180"/>
              <w:spacing w:after="0"/>
              <w:rPr>
                <w:sz w:val="20"/>
                <w:szCs w:val="20"/>
                <w:color w:val="auto"/>
              </w:rPr>
            </w:pPr>
            <w:r>
              <w:rPr>
                <w:rFonts w:ascii="Arial" w:cs="Arial" w:eastAsia="Arial" w:hAnsi="Arial"/>
                <w:sz w:val="18"/>
                <w:szCs w:val="18"/>
                <w:color w:val="auto"/>
              </w:rPr>
              <w:t>Long-term debt, net of current portion</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96,042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85,917</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Credit Facility</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October 31, 2014, the Company entered into a Third Amendment and Modification Agreement of its revolving line of credit, the Third Amended and Restated Credit Agreement (“Credit Agreement”), dated December 21, 2011, with its lending group. The Credit Agreement provides the Company with a $175.0 million revolving line of credit, which, under certain circumstances, the line of credit can be increased to $225.0 million. The Company may borrow up to $30.0 million in non-U.S. Dollar currencies and use up to $10.0 million of the credit limit for the issuance of letters of credit. The Credit Agreement has a maturity date of October 30, 2019. As of March 31, 2017, the Company had borrowings of $93.0 million and a total of $5.7 million of letters of credit outstanding under the Credit Agreement.</w:t>
      </w:r>
    </w:p>
    <w:p>
      <w:pPr>
        <w:spacing w:after="0" w:line="19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Loans under the Credit Agreement bear interest at LIBOR plus an applicable LIBOR margin ranging from 1% to 1.75%, or a base rate less a margin of 1.25% to 0.375%, at the option of the Company, based upon the Company’s Funded Debt Leverage Ratio. Funded Debt Leverage Ratio is defined as the ratio of</w:t>
      </w:r>
    </w:p>
    <w:p>
      <w:pPr>
        <w:ind w:right="120" w:firstLine="8"/>
        <w:spacing w:after="0" w:line="281" w:lineRule="auto"/>
        <w:tabs>
          <w:tab w:leader="none" w:pos="2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outstanding indebtedness for borrowed money and other interest-bearing indebtedness as of the date of determination to (2) EBITDA (which is (a) net income, less (b) income (or plus loss) from discontinued operations and extraordinary items, plus (c) income tax expenses, plus (d) interest expense, plus</w:t>
      </w:r>
    </w:p>
    <w:p>
      <w:pPr>
        <w:spacing w:after="0" w:line="1" w:lineRule="exact"/>
        <w:rPr>
          <w:rFonts w:ascii="Arial" w:cs="Arial" w:eastAsia="Arial" w:hAnsi="Arial"/>
          <w:sz w:val="16"/>
          <w:szCs w:val="16"/>
          <w:color w:val="auto"/>
        </w:rPr>
      </w:pPr>
    </w:p>
    <w:p>
      <w:pPr>
        <w:ind w:right="60"/>
        <w:spacing w:after="0" w:line="270" w:lineRule="auto"/>
        <w:rPr>
          <w:rFonts w:ascii="Arial" w:cs="Arial" w:eastAsia="Arial" w:hAnsi="Arial"/>
          <w:sz w:val="16"/>
          <w:szCs w:val="16"/>
          <w:color w:val="auto"/>
        </w:rPr>
      </w:pPr>
      <w:r>
        <w:rPr>
          <w:rFonts w:ascii="Arial" w:cs="Arial" w:eastAsia="Arial" w:hAnsi="Arial"/>
          <w:sz w:val="17"/>
          <w:szCs w:val="17"/>
          <w:color w:val="auto"/>
        </w:rPr>
        <w:t>(e) depreciation, depletion, and amortization (including non-cash loss on retirement of assets), plus (f) stock compensation expense, less (g) cash expense related to stock compensation, plus or minus certain other adjustments) for the period of four consecutive fiscal quarters immediately preceding the date of determination. The Company has the benefit of the lowest margin if its Funded Debt Leverage Ratio is equal to or less than 0.5 to 1, and the margin increases as the ratio increases, to the maximum margin if the ratio is greater than 2.0 to 1. The Company will also bear additional costs for market disruption, regulatory changes effecting the lenders’ funding costs, and default pricing of an additional 2% interest rate margin on any amounts not paid when due. Amounts borrowed under the Credit Agreement are secured by liens on substantially all of the assets of the Company.</w:t>
      </w:r>
    </w:p>
    <w:p>
      <w:pPr>
        <w:spacing w:after="0" w:line="17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Credit Agreement contains financial covenants requiring that the Company maintain a Funded Debt Leverage Ratio of no greater than 3.25 to 1 and an Interest Coverage Ratio of at least 3.0 to 1. Interest Coverage Ratio is defined as the ratio, as of any date of determination, of (a) EBITDA for the 12 month period immediately preceding the date of determination, to (b) all interest, premium payments, debt discount, fees, charges and related expenses of the Company and its subsidiaries in connection with borrowed money (including capitalized interest) or in connection with the deferred purchase price of assets, in each case to the extent treated as interest in accordance with GAAP, paid during the 12 month period immediately preceding the date of determination. The Credit Agreement also limits the Company’s ability to, among other things, create liens, make investments, incur more indebtedness, merge or consolidate, make dispositions of property, pay dividends and make distributions to stockholders, enter into a new line of business, enter into transactions with affiliates and enter into burdensome agreements. The Credit Agreement does not limit the Company’s ability to acquire other businesses or companies except that the acquired business or company must be in the Company's line of business, the Company must be in compliance with the financial covenants on a pro forma basis after taking into account the acquisition, and, if the acquired business is a separate subsidiary, in certain circumstances the lenders will receive the benefit of a guaranty of the subsidiary and liens on its assets and a pledge of its stock.</w:t>
      </w:r>
    </w:p>
    <w:p>
      <w:pPr>
        <w:spacing w:after="0" w:line="17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As of March 31, 2017, the Company was in compliance with the terms of the Credit Agreement, and will continuously monitor its compliance with the covenants contained in its Credit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 and Other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certain of its acquisitions, the Company issued subordinated notes payable to the sellers. The maturity of the notes that remain outstanding are three years from the date of acquisition and bear interest at the prime rate for the Bank of Canada, currently 2.7% as of March 31, 2017. Interest expense is recorded in the condensed consolidated statements of income.</w:t>
      </w:r>
    </w:p>
    <w:p>
      <w:pPr>
        <w:spacing w:after="0" w:line="393" w:lineRule="exact"/>
        <w:rPr>
          <w:sz w:val="20"/>
          <w:szCs w:val="20"/>
          <w:color w:val="auto"/>
        </w:rPr>
      </w:pPr>
    </w:p>
    <w:p>
      <w:pPr>
        <w:ind w:left="680" w:hanging="672"/>
        <w:spacing w:after="0"/>
        <w:tabs>
          <w:tab w:leader="none" w:pos="6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70" w:lineRule="exact"/>
        <w:rPr>
          <w:sz w:val="20"/>
          <w:szCs w:val="20"/>
          <w:color w:val="auto"/>
        </w:rPr>
      </w:pPr>
    </w:p>
    <w:p>
      <w:pPr>
        <w:ind w:right="2760"/>
        <w:spacing w:after="0" w:line="286" w:lineRule="auto"/>
        <w:rPr>
          <w:sz w:val="20"/>
          <w:szCs w:val="20"/>
          <w:color w:val="auto"/>
        </w:rPr>
      </w:pPr>
      <w:r>
        <w:rPr>
          <w:rFonts w:ascii="Arial" w:cs="Arial" w:eastAsia="Arial" w:hAnsi="Arial"/>
          <w:sz w:val="17"/>
          <w:szCs w:val="17"/>
          <w:color w:val="auto"/>
        </w:rPr>
        <w:t>The Company performs fair value measurements in accordance with the guidance provided by ASC 820, Fair Value Measurements and Disclosures. ASC 820 defines fair value as the price that would be received to sell an asset or paid to transfer a liability in an orderly transaction between market participants at the measurement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measured at fair value on a recurring basis</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fair value of contingent consideration liabilities classified as Level 3 was estimated using a discounted cash flow technique with significant inputs that are not observable in the market and thus represents a Level 3 fair value measurement as defined in ASC 820. The significant inputs in the Level 3 measurement not supported by market activity include the probability assessments of expected future cash flows related to the acquisitions, appropriately discounted considering the uncertainties associated with the obligation, and as calculated in accordance with the terms of the applicable acquisition agreements.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changes in the fair value of Level 3 contingent consideration:</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80" w:type="dxa"/>
            <w:vAlign w:val="bottom"/>
          </w:tcPr>
          <w:p>
            <w:pPr>
              <w:jc w:val="right"/>
              <w:ind w:right="354"/>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92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March 31, 2017</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Beginning balance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4"/>
              <w:spacing w:after="0"/>
              <w:rPr>
                <w:sz w:val="20"/>
                <w:szCs w:val="20"/>
                <w:color w:val="auto"/>
              </w:rPr>
            </w:pPr>
            <w:r>
              <w:rPr>
                <w:rFonts w:ascii="Arial" w:cs="Arial" w:eastAsia="Arial" w:hAnsi="Arial"/>
                <w:sz w:val="18"/>
                <w:szCs w:val="18"/>
                <w:color w:val="auto"/>
              </w:rPr>
              <w:t>3,094</w:t>
            </w:r>
          </w:p>
        </w:tc>
      </w:tr>
      <w:tr>
        <w:trPr>
          <w:trHeight w:val="27"/>
        </w:trPr>
        <w:tc>
          <w:tcPr>
            <w:tcW w:w="9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 of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280" w:type="dxa"/>
            <w:vAlign w:val="bottom"/>
          </w:tcPr>
          <w:p>
            <w:pPr>
              <w:spacing w:after="0"/>
              <w:rPr>
                <w:sz w:val="21"/>
                <w:szCs w:val="21"/>
                <w:color w:val="auto"/>
              </w:rPr>
            </w:pPr>
          </w:p>
        </w:tc>
        <w:tc>
          <w:tcPr>
            <w:tcW w:w="1880" w:type="dxa"/>
            <w:vAlign w:val="bottom"/>
          </w:tcPr>
          <w:p>
            <w:pPr>
              <w:jc w:val="right"/>
              <w:ind w:right="14"/>
              <w:spacing w:after="0"/>
              <w:rPr>
                <w:sz w:val="20"/>
                <w:szCs w:val="20"/>
                <w:color w:val="auto"/>
              </w:rPr>
            </w:pPr>
            <w:r>
              <w:rPr>
                <w:rFonts w:ascii="Arial" w:cs="Arial" w:eastAsia="Arial" w:hAnsi="Arial"/>
                <w:sz w:val="18"/>
                <w:szCs w:val="18"/>
                <w:color w:val="auto"/>
              </w:rPr>
              <w:t>14</w:t>
            </w:r>
          </w:p>
        </w:tc>
      </w:tr>
      <w:tr>
        <w:trPr>
          <w:trHeight w:val="27"/>
        </w:trPr>
        <w:tc>
          <w:tcPr>
            <w:tcW w:w="9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Revaluation</w:t>
            </w:r>
          </w:p>
        </w:tc>
        <w:tc>
          <w:tcPr>
            <w:tcW w:w="2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(693)</w:t>
            </w:r>
          </w:p>
        </w:tc>
      </w:tr>
      <w:tr>
        <w:trPr>
          <w:trHeight w:val="27"/>
        </w:trPr>
        <w:tc>
          <w:tcPr>
            <w:tcW w:w="9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2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2,508</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4,940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measured at fair value on a recurring basis</w:t>
      </w:r>
    </w:p>
    <w:p>
      <w:pPr>
        <w:spacing w:after="0" w:line="225" w:lineRule="exact"/>
        <w:rPr>
          <w:sz w:val="20"/>
          <w:szCs w:val="20"/>
          <w:color w:val="auto"/>
        </w:rPr>
      </w:pPr>
    </w:p>
    <w:p>
      <w:pPr>
        <w:jc w:val="both"/>
        <w:ind w:right="820"/>
        <w:spacing w:after="0" w:line="312" w:lineRule="auto"/>
        <w:rPr>
          <w:sz w:val="20"/>
          <w:szCs w:val="20"/>
          <w:color w:val="auto"/>
        </w:rPr>
      </w:pPr>
      <w:r>
        <w:rPr>
          <w:rFonts w:ascii="Arial" w:cs="Arial" w:eastAsia="Arial" w:hAnsi="Arial"/>
          <w:sz w:val="16"/>
          <w:szCs w:val="16"/>
          <w:color w:val="auto"/>
        </w:rPr>
        <w:t>The Company has evaluated current market conditions and borrower credit quality and has determined that the carrying value of its long-term debt approximates fair value. The fair value of the Company’s notes payable and capital lease obligations approximates their carrying amounts based on anticipated interest rates which management believes would currently be available to the Company for similar issuances of debt.</w:t>
      </w:r>
    </w:p>
    <w:p>
      <w:pPr>
        <w:spacing w:after="0" w:line="359" w:lineRule="exact"/>
        <w:rPr>
          <w:sz w:val="20"/>
          <w:szCs w:val="20"/>
          <w:color w:val="auto"/>
        </w:rPr>
      </w:pPr>
    </w:p>
    <w:p>
      <w:pPr>
        <w:ind w:left="680" w:hanging="672"/>
        <w:spacing w:after="0"/>
        <w:tabs>
          <w:tab w:leader="none" w:pos="6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Government Investigations</w:t>
      </w:r>
    </w:p>
    <w:p>
      <w:pPr>
        <w:spacing w:after="0" w:line="266"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Company is subject to periodic lawsuits, investigations and claims that arise in the ordinary course of business. The Company cannot predict with certainty the ultimate resolution of lawsuits, investigations and claims asserted against it. Except possibly for certain of the matters described below, the Company does not believe that any currently pending legal proceeding to which the Company is a party will have a material adverse effect on its business, results of operations, cash flows or financial condition. The costs of defense and amounts that may be recovered against the Company may be covered by insurance for certain matters.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 and Commercial Claims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2" w:right="2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Company was a defendant in a consolidated purported class and collective action, </w:t>
      </w:r>
      <w:r>
        <w:rPr>
          <w:rFonts w:ascii="Arial" w:cs="Arial" w:eastAsia="Arial" w:hAnsi="Arial"/>
          <w:sz w:val="18"/>
          <w:szCs w:val="18"/>
          <w:i w:val="1"/>
          <w:iCs w:val="1"/>
          <w:color w:val="auto"/>
        </w:rPr>
        <w:t>Edgar Viceral and David Kruger v Mistras Group, et al</w:t>
      </w:r>
      <w:r>
        <w:rPr>
          <w:rFonts w:ascii="Arial" w:cs="Arial" w:eastAsia="Arial" w:hAnsi="Arial"/>
          <w:sz w:val="18"/>
          <w:szCs w:val="18"/>
          <w:color w:val="auto"/>
        </w:rPr>
        <w:t>, pending in the U.S. District Court for the Northern District of California. This matter resulted from the consolidation of two cases originally filed in California state court in April 2015. The parties have settled the case, whereby the Company recorded a pre-tax charge of $6.3 million during the three months ended June 30, 2016 and paid the settlement in February 2017.</w:t>
      </w:r>
    </w:p>
    <w:p>
      <w:pPr>
        <w:spacing w:after="0" w:line="187" w:lineRule="exact"/>
        <w:rPr>
          <w:sz w:val="20"/>
          <w:szCs w:val="20"/>
          <w:color w:val="auto"/>
        </w:rPr>
      </w:pPr>
    </w:p>
    <w:p>
      <w:pPr>
        <w:ind w:right="2400"/>
        <w:spacing w:after="0" w:line="285" w:lineRule="auto"/>
        <w:rPr>
          <w:sz w:val="20"/>
          <w:szCs w:val="20"/>
          <w:color w:val="auto"/>
        </w:rPr>
      </w:pPr>
      <w:r>
        <w:rPr>
          <w:rFonts w:ascii="Arial" w:cs="Arial" w:eastAsia="Arial" w:hAnsi="Arial"/>
          <w:sz w:val="16"/>
          <w:szCs w:val="16"/>
          <w:color w:val="auto"/>
        </w:rPr>
        <w:t xml:space="preserve">The Company is a defendant in the lawsuit </w:t>
      </w:r>
      <w:r>
        <w:rPr>
          <w:rFonts w:ascii="Arial" w:cs="Arial" w:eastAsia="Arial" w:hAnsi="Arial"/>
          <w:sz w:val="16"/>
          <w:szCs w:val="16"/>
          <w:i w:val="1"/>
          <w:iCs w:val="1"/>
          <w:color w:val="auto"/>
        </w:rPr>
        <w:t>AGL Services Company v. Mistras Group, Inc.,</w:t>
      </w:r>
      <w:r>
        <w:rPr>
          <w:rFonts w:ascii="Arial" w:cs="Arial" w:eastAsia="Arial" w:hAnsi="Arial"/>
          <w:sz w:val="16"/>
          <w:szCs w:val="16"/>
          <w:color w:val="auto"/>
        </w:rPr>
        <w:t xml:space="preserve"> pending in U.S. District Court for the Northern District of Georgia, filed November 2016. The case involves radiography work performed by the Company in fiscal 2013 on the construction of a pipeline project in the U.S. The owner of the pipeline project contends that certain of the radiography images the Company’s technicians prepared regarding the project did not meet the code quality interpretation standards required by the American Petroleum Institute. The project owner is claiming damages as a result of the alleged</w:t>
      </w:r>
    </w:p>
    <w:p>
      <w:pPr>
        <w:spacing w:after="0" w:line="2"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quality defects of the Company’s radiography images. The complaint alleges damages of approximately $6 million. The Company is currently unable to determine the likely outcome or reasonably estimate the amount or range of potential liability related to this matter after consideration of its insurance coverage, and accordingly, has not established any reserves for this matter.</w:t>
      </w:r>
    </w:p>
    <w:p>
      <w:pPr>
        <w:spacing w:after="0" w:line="190"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The Company’s subsidiary in France has been involved in a dispute with a former owner of a business in France purchased by the Company’s French subsidiary. The former owner received a judgment in his favor in the amount of approximately $0.4 million for payment of the contingent consideration portion of the purchase price for the business. The judgment is being appealed, but the Company recorded a reserve for the full amount of the judgment during the three months ended June 30, 2016.</w:t>
      </w:r>
    </w:p>
    <w:p>
      <w:pPr>
        <w:spacing w:after="0" w:line="187" w:lineRule="exact"/>
        <w:rPr>
          <w:sz w:val="20"/>
          <w:szCs w:val="20"/>
          <w:color w:val="auto"/>
        </w:rPr>
      </w:pPr>
    </w:p>
    <w:p>
      <w:pPr>
        <w:ind w:right="2240"/>
        <w:spacing w:after="0" w:line="288" w:lineRule="auto"/>
        <w:rPr>
          <w:sz w:val="20"/>
          <w:szCs w:val="20"/>
          <w:color w:val="auto"/>
        </w:rPr>
      </w:pPr>
      <w:r>
        <w:rPr>
          <w:rFonts w:ascii="Arial" w:cs="Arial" w:eastAsia="Arial" w:hAnsi="Arial"/>
          <w:sz w:val="16"/>
          <w:szCs w:val="16"/>
          <w:color w:val="auto"/>
        </w:rPr>
        <w:t xml:space="preserve">The Company is a defendant in a lawsuit, </w:t>
      </w:r>
      <w:r>
        <w:rPr>
          <w:rFonts w:ascii="Arial" w:cs="Arial" w:eastAsia="Arial" w:hAnsi="Arial"/>
          <w:sz w:val="16"/>
          <w:szCs w:val="16"/>
          <w:i w:val="1"/>
          <w:iCs w:val="1"/>
          <w:color w:val="auto"/>
        </w:rPr>
        <w:t>Triumph Aerostructures, LLC d/b/a Triumph Aerostructures-Vought Aircraft Division</w:t>
      </w:r>
      <w:r>
        <w:rPr>
          <w:rFonts w:ascii="Arial" w:cs="Arial" w:eastAsia="Arial" w:hAnsi="Arial"/>
          <w:sz w:val="16"/>
          <w:szCs w:val="16"/>
          <w:color w:val="auto"/>
        </w:rPr>
        <w:t xml:space="preserve"> </w:t>
      </w:r>
      <w:r>
        <w:rPr>
          <w:rFonts w:ascii="Arial" w:cs="Arial" w:eastAsia="Arial" w:hAnsi="Arial"/>
          <w:sz w:val="16"/>
          <w:szCs w:val="16"/>
          <w:i w:val="1"/>
          <w:iCs w:val="1"/>
          <w:color w:val="auto"/>
        </w:rPr>
        <w:t>v. Mistras Group, Inc</w:t>
      </w:r>
      <w:r>
        <w:rPr>
          <w:rFonts w:ascii="Arial" w:cs="Arial" w:eastAsia="Arial" w:hAnsi="Arial"/>
          <w:sz w:val="16"/>
          <w:szCs w:val="16"/>
          <w:color w:val="auto"/>
        </w:rPr>
        <w:t>., pending in Texas State district court, 193rd Judicial District, Dallas County, Texas, filed September</w:t>
      </w:r>
      <w:r>
        <w:rPr>
          <w:rFonts w:ascii="Arial" w:cs="Arial" w:eastAsia="Arial" w:hAnsi="Arial"/>
          <w:sz w:val="16"/>
          <w:szCs w:val="16"/>
          <w:i w:val="1"/>
          <w:iCs w:val="1"/>
          <w:color w:val="auto"/>
        </w:rPr>
        <w:t xml:space="preserve"> </w:t>
      </w:r>
      <w:r>
        <w:rPr>
          <w:rFonts w:ascii="Arial" w:cs="Arial" w:eastAsia="Arial" w:hAnsi="Arial"/>
          <w:sz w:val="16"/>
          <w:szCs w:val="16"/>
          <w:color w:val="auto"/>
        </w:rPr>
        <w:t>2016. The plaintiff alleges Mistras delivered, in fiscal 2014, a defective Ultrasonic inspection system and is alleging damages</w:t>
      </w:r>
    </w:p>
    <w:p>
      <w:pPr>
        <w:ind w:right="20"/>
        <w:spacing w:after="0" w:line="290" w:lineRule="auto"/>
        <w:rPr>
          <w:sz w:val="20"/>
          <w:szCs w:val="20"/>
          <w:color w:val="auto"/>
        </w:rPr>
      </w:pPr>
      <w:r>
        <w:rPr>
          <w:rFonts w:ascii="Arial" w:cs="Arial" w:eastAsia="Arial" w:hAnsi="Arial"/>
          <w:sz w:val="17"/>
          <w:szCs w:val="17"/>
          <w:color w:val="auto"/>
        </w:rPr>
        <w:t>of approximately $2.3 million, the amount it paid for the system. The Company is currently unable to determine the likely outcome or reasonably estimate the amount or range of potential liability related to this matter, and accordingly, has not established any reserves for this matter.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Government Investigations</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May 2015, the Company received a notice from the U.S. Environmental Protection Agency (“EPA”) that it performed a preliminary assessment at a leased facility the Company operates in Cudahy, California. Based upon the preliminary assessment, the EPA is conducting an investigation of the site, which includes taking groundwater and soil samples. The purpose of the investigation is to determine whether any hazardous materials were released from the facility. The Company has been informed that certain hazardous materials and pollutants have been found in the ground water in the general vicinity of the site and the EPA is attempting to ascertain the origination or source of these materials and pollutants. Given the historic industrial use of the site, the EPA determined that the site of the Cudahy facility should be examined, along with numerous other sites in the vicinity. At this time, the Company is unable to determine whether it has any liability in connection with this matter and if so, the amount or range of any such liability, and accordingly, has not established any reserves for this matter.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contingencies</w:t>
      </w:r>
    </w:p>
    <w:p>
      <w:pPr>
        <w:spacing w:after="0" w:line="225"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 xml:space="preserve">The Company is liable for contingent consideration in connection with certain of its acquisitions. As of March 31, 2017, total potential acquisition-related contingent consideration ranged from zero to approximately $16.9 million and would be payable upon the achievement of specific performance metrics by certain of the acquired companies over the next 3.0 years of operations. See Note 4 -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to these condensed consolidated financial statements for further discussion of the Company’s acquisitions.</w:t>
      </w:r>
    </w:p>
    <w:p>
      <w:pPr>
        <w:spacing w:after="0" w:line="183" w:lineRule="exact"/>
        <w:rPr>
          <w:sz w:val="20"/>
          <w:szCs w:val="20"/>
          <w:color w:val="auto"/>
        </w:rPr>
      </w:pPr>
    </w:p>
    <w:p>
      <w:pPr>
        <w:ind w:left="680" w:hanging="672"/>
        <w:spacing w:after="0"/>
        <w:tabs>
          <w:tab w:leader="none" w:pos="6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Segment Disclosure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operating segments are:</w:t>
      </w:r>
    </w:p>
    <w:p>
      <w:pPr>
        <w:spacing w:after="0" w:line="225" w:lineRule="exact"/>
        <w:rPr>
          <w:sz w:val="20"/>
          <w:szCs w:val="20"/>
          <w:color w:val="auto"/>
        </w:rPr>
      </w:pPr>
    </w:p>
    <w:p>
      <w:pPr>
        <w:ind w:left="1140" w:right="80" w:hanging="484"/>
        <w:spacing w:after="0" w:line="277" w:lineRule="auto"/>
        <w:tabs>
          <w:tab w:leader="none" w:pos="897"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This segment provides asset protection solutions primarily in North America with the largest concentration in the United States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Canadian services business, consisting primarily of non-destructive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2" w:right="25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900" w:right="320"/>
        <w:spacing w:after="0" w:line="324" w:lineRule="auto"/>
        <w:rPr>
          <w:sz w:val="20"/>
          <w:szCs w:val="20"/>
          <w:color w:val="auto"/>
        </w:rPr>
      </w:pPr>
      <w:r>
        <w:rPr>
          <w:rFonts w:ascii="Arial" w:cs="Arial" w:eastAsia="Arial" w:hAnsi="Arial"/>
          <w:sz w:val="18"/>
          <w:szCs w:val="18"/>
          <w:color w:val="auto"/>
        </w:rPr>
        <w:t>testing and inspection and engineering services that are used to evaluate the structural integrity and reliability of critical energy, industrial and public infrastructure.</w:t>
      </w:r>
    </w:p>
    <w:p>
      <w:pPr>
        <w:spacing w:after="0" w:line="143" w:lineRule="exact"/>
        <w:rPr>
          <w:sz w:val="20"/>
          <w:szCs w:val="20"/>
          <w:color w:val="auto"/>
        </w:rPr>
      </w:pPr>
    </w:p>
    <w:p>
      <w:pPr>
        <w:ind w:left="1140" w:right="100" w:hanging="484"/>
        <w:spacing w:after="0" w:line="264" w:lineRule="auto"/>
        <w:tabs>
          <w:tab w:leader="none" w:pos="897"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This segment offers services, products and systems similar to those of the Company’s other two segments to global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in Europe, the Middle East, Africa, Asia and South America, but not to customers in China and South Korea, which are served by the Products and Systems segment.</w:t>
      </w:r>
    </w:p>
    <w:p>
      <w:pPr>
        <w:spacing w:after="0" w:line="181" w:lineRule="exact"/>
        <w:rPr>
          <w:rFonts w:ascii="Arial" w:cs="Arial" w:eastAsia="Arial" w:hAnsi="Arial"/>
          <w:sz w:val="18"/>
          <w:szCs w:val="18"/>
          <w:color w:val="auto"/>
        </w:rPr>
      </w:pPr>
    </w:p>
    <w:p>
      <w:pPr>
        <w:ind w:left="1140" w:right="380" w:hanging="484"/>
        <w:spacing w:after="0" w:line="277" w:lineRule="auto"/>
        <w:tabs>
          <w:tab w:leader="none" w:pos="897"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This segment designs, manufactures, sells, installs and services the Company’s asset protection products and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equipment and instrumentation, predominantly in the United States.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Costs incurred for general corporate services, including finance, legal, and certain other costs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Services and International segments by the Products and Systems segment are reflected in the operating performance of each segment. All such intersegment transactions are eliminated in the Company’s consolidated financial reporting.</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Selected consolidated financial information by segment for the periods shown was as follows (intercompany transactions are eliminated in Corporate and eliminations):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8"/>
          </w:tcPr>
          <w:p>
            <w:pPr>
              <w:jc w:val="center"/>
              <w:ind w:right="193"/>
              <w:spacing w:after="0"/>
              <w:rPr>
                <w:sz w:val="20"/>
                <w:szCs w:val="20"/>
                <w:color w:val="auto"/>
              </w:rPr>
            </w:pPr>
            <w:r>
              <w:rPr>
                <w:rFonts w:ascii="Arial" w:cs="Arial" w:eastAsia="Arial" w:hAnsi="Arial"/>
                <w:sz w:val="14"/>
                <w:szCs w:val="14"/>
                <w:b w:val="1"/>
                <w:bCs w:val="1"/>
                <w:color w:val="auto"/>
                <w:w w:val="91"/>
              </w:rPr>
              <w:t>Three months ended</w:t>
            </w:r>
          </w:p>
        </w:tc>
      </w:tr>
      <w:tr>
        <w:trPr>
          <w:trHeight w:val="263"/>
        </w:trPr>
        <w:tc>
          <w:tcPr>
            <w:tcW w:w="8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8"/>
              </w:rPr>
              <w:t>March 31, 2017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233"/>
              <w:spacing w:after="0"/>
              <w:rPr>
                <w:sz w:val="20"/>
                <w:szCs w:val="20"/>
                <w:color w:val="auto"/>
              </w:rPr>
            </w:pPr>
            <w:r>
              <w:rPr>
                <w:rFonts w:ascii="Arial" w:cs="Arial" w:eastAsia="Arial" w:hAnsi="Arial"/>
                <w:sz w:val="14"/>
                <w:szCs w:val="14"/>
                <w:b w:val="1"/>
                <w:bCs w:val="1"/>
                <w:color w:val="auto"/>
              </w:rPr>
              <w:t>March 31, 2016</w:t>
            </w:r>
          </w:p>
        </w:tc>
      </w:tr>
      <w:tr>
        <w:trPr>
          <w:trHeight w:val="230"/>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126,329</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131,579</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34,256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30,980</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6,680</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Corporate and eliminations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(2,817)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(1,784)</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163,318</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167,455</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r>
      <w:tr>
        <w:trPr>
          <w:trHeight w:val="528"/>
        </w:trPr>
        <w:tc>
          <w:tcPr>
            <w:tcW w:w="80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8"/>
          </w:tcPr>
          <w:p>
            <w:pPr>
              <w:jc w:val="right"/>
              <w:ind w:right="973"/>
              <w:spacing w:after="0"/>
              <w:rPr>
                <w:sz w:val="20"/>
                <w:szCs w:val="20"/>
                <w:color w:val="auto"/>
              </w:rPr>
            </w:pPr>
            <w:r>
              <w:rPr>
                <w:rFonts w:ascii="Arial" w:cs="Arial" w:eastAsia="Arial" w:hAnsi="Arial"/>
                <w:sz w:val="14"/>
                <w:szCs w:val="14"/>
                <w:b w:val="1"/>
                <w:bCs w:val="1"/>
                <w:color w:val="auto"/>
              </w:rPr>
              <w:t>Three months ended</w:t>
            </w:r>
          </w:p>
        </w:tc>
      </w:tr>
      <w:tr>
        <w:trPr>
          <w:trHeight w:val="263"/>
        </w:trPr>
        <w:tc>
          <w:tcPr>
            <w:tcW w:w="8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March 31, 2017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293"/>
              <w:spacing w:after="0"/>
              <w:rPr>
                <w:sz w:val="20"/>
                <w:szCs w:val="20"/>
                <w:color w:val="auto"/>
              </w:rPr>
            </w:pPr>
            <w:r>
              <w:rPr>
                <w:rFonts w:ascii="Arial" w:cs="Arial" w:eastAsia="Arial" w:hAnsi="Arial"/>
                <w:sz w:val="14"/>
                <w:szCs w:val="14"/>
                <w:b w:val="1"/>
                <w:bCs w:val="1"/>
                <w:color w:val="auto"/>
                <w:w w:val="94"/>
              </w:rPr>
              <w:t>March 31, 2016</w:t>
            </w:r>
          </w:p>
        </w:tc>
      </w:tr>
      <w:tr>
        <w:trPr>
          <w:trHeight w:val="230"/>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27"/>
        </w:trPr>
        <w:tc>
          <w:tcPr>
            <w:tcW w:w="80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30,213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32,458</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10,460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8,673</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2,594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2,738</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Corporate and eliminations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101</w:t>
            </w:r>
          </w:p>
        </w:tc>
      </w:tr>
      <w:tr>
        <w:trPr>
          <w:trHeight w:val="27"/>
        </w:trPr>
        <w:tc>
          <w:tcPr>
            <w:tcW w:w="8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0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43,153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43,970</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r>
      <w:tr>
        <w:trPr>
          <w:trHeight w:val="528"/>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8"/>
          </w:tcPr>
          <w:p>
            <w:pPr>
              <w:jc w:val="right"/>
              <w:ind w:right="853"/>
              <w:spacing w:after="0"/>
              <w:rPr>
                <w:sz w:val="20"/>
                <w:szCs w:val="20"/>
                <w:color w:val="auto"/>
              </w:rPr>
            </w:pPr>
            <w:r>
              <w:rPr>
                <w:rFonts w:ascii="Arial" w:cs="Arial" w:eastAsia="Arial" w:hAnsi="Arial"/>
                <w:sz w:val="14"/>
                <w:szCs w:val="14"/>
                <w:b w:val="1"/>
                <w:bCs w:val="1"/>
                <w:color w:val="auto"/>
              </w:rPr>
              <w:t>Three months ended</w:t>
            </w:r>
          </w:p>
        </w:tc>
      </w:tr>
      <w:tr>
        <w:trPr>
          <w:trHeight w:val="263"/>
        </w:trPr>
        <w:tc>
          <w:tcPr>
            <w:tcW w:w="8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March 31, 2017</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March 31, 2016</w:t>
            </w:r>
          </w:p>
        </w:tc>
      </w:tr>
      <w:tr>
        <w:trPr>
          <w:trHeight w:val="230"/>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7"/>
        </w:trPr>
        <w:tc>
          <w:tcPr>
            <w:tcW w:w="80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gridSpan w:val="3"/>
          </w:tcPr>
          <w:p>
            <w:pPr>
              <w:spacing w:after="0"/>
              <w:rPr>
                <w:sz w:val="2"/>
                <w:szCs w:val="2"/>
                <w:color w:val="auto"/>
              </w:rPr>
            </w:pPr>
          </w:p>
        </w:tc>
        <w:tc>
          <w:tcPr>
            <w:tcW w:w="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7,380</w:t>
            </w:r>
          </w:p>
        </w:tc>
        <w:tc>
          <w:tcPr>
            <w:tcW w:w="3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11,339</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3,034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720</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Corporate and eliminations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(6,715)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(6,281)</w:t>
            </w:r>
          </w:p>
        </w:tc>
      </w:tr>
      <w:tr>
        <w:trPr>
          <w:trHeight w:val="27"/>
        </w:trPr>
        <w:tc>
          <w:tcPr>
            <w:tcW w:w="80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0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3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5,646</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Income (loss) by operating segment includes intercompany transactions, which are eliminated in Corporate and eliminations.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2" w:right="2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jc w:val="right"/>
              <w:ind w:right="87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gridSpan w:val="2"/>
          </w:tcPr>
          <w:p>
            <w:pPr>
              <w:spacing w:after="0"/>
              <w:rPr>
                <w:sz w:val="16"/>
                <w:szCs w:val="16"/>
                <w:color w:val="auto"/>
              </w:rPr>
            </w:pPr>
          </w:p>
        </w:tc>
      </w:tr>
      <w:tr>
        <w:trPr>
          <w:trHeight w:val="263"/>
        </w:trPr>
        <w:tc>
          <w:tcPr>
            <w:tcW w:w="8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2017</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March 31, 2016</w:t>
            </w:r>
          </w:p>
        </w:tc>
      </w:tr>
      <w:tr>
        <w:trPr>
          <w:trHeight w:val="230"/>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5,318</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5,623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1,844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1,880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Corporate and eliminations</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r>
      <w:tr>
        <w:trPr>
          <w:trHeight w:val="269"/>
        </w:trPr>
        <w:tc>
          <w:tcPr>
            <w:tcW w:w="8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7,665</w:t>
            </w: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8,017</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r>
      <w:tr>
        <w:trPr>
          <w:trHeight w:val="596"/>
        </w:trPr>
        <w:tc>
          <w:tcPr>
            <w:tcW w:w="8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December 31, 2016</w:t>
            </w:r>
          </w:p>
        </w:tc>
      </w:tr>
      <w:tr>
        <w:trPr>
          <w:trHeight w:val="229"/>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Intangible assets, net</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21,184</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19,550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13,889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14,139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5,293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Corporate and eliminations</w:t>
            </w:r>
          </w:p>
        </w:tc>
        <w:tc>
          <w:tcPr>
            <w:tcW w:w="20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860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8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41,226</w:t>
            </w: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40,007</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12"/>
        </w:trPr>
        <w:tc>
          <w:tcPr>
            <w:tcW w:w="8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December 31, 2016</w:t>
            </w:r>
          </w:p>
        </w:tc>
      </w:tr>
      <w:tr>
        <w:trPr>
          <w:trHeight w:val="229"/>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8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gridSpan w:val="3"/>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293,401</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291,539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134,813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130,427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29,819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28,964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Corporate and eliminations</w:t>
            </w:r>
          </w:p>
        </w:tc>
        <w:tc>
          <w:tcPr>
            <w:tcW w:w="20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11,697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18,497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8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469,730</w:t>
            </w: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469,427</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Revenues by geographic area for the three months ended March 31, 2017 and 2016, respectively, were as follows:</w:t>
      </w:r>
    </w:p>
    <w:p>
      <w:pPr>
        <w:spacing w:after="0" w:line="379"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p>
      <w:pPr>
        <w:ind w:left="8620"/>
        <w:spacing w:after="0"/>
        <w:tabs>
          <w:tab w:leader="none" w:pos="10180" w:val="left"/>
        </w:tabs>
        <w:rPr>
          <w:sz w:val="20"/>
          <w:szCs w:val="20"/>
          <w:color w:val="auto"/>
        </w:rPr>
      </w:pPr>
      <w:r>
        <w:rPr>
          <w:rFonts w:ascii="Arial" w:cs="Arial" w:eastAsia="Arial" w:hAnsi="Arial"/>
          <w:sz w:val="14"/>
          <w:szCs w:val="14"/>
          <w:b w:val="1"/>
          <w:bCs w:val="1"/>
          <w:color w:val="auto"/>
        </w:rPr>
        <w:t>March 31, 2017</w:t>
      </w:r>
      <w:r>
        <w:rPr>
          <w:sz w:val="20"/>
          <w:szCs w:val="20"/>
          <w:color w:val="auto"/>
        </w:rPr>
        <w:tab/>
      </w:r>
      <w:r>
        <w:rPr>
          <w:rFonts w:ascii="Arial" w:cs="Arial" w:eastAsia="Arial" w:hAnsi="Arial"/>
          <w:sz w:val="13"/>
          <w:szCs w:val="13"/>
          <w:b w:val="1"/>
          <w:bCs w:val="1"/>
          <w:color w:val="auto"/>
        </w:rPr>
        <w:t>March 31, 2016</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46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488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5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111,531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121,271</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Other Americas</w:t>
            </w:r>
          </w:p>
        </w:tc>
        <w:tc>
          <w:tcPr>
            <w:tcW w:w="4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15,473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14,783</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Europe</w:t>
            </w:r>
          </w:p>
        </w:tc>
        <w:tc>
          <w:tcPr>
            <w:tcW w:w="4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30,660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27,247</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Asia-Pacific</w:t>
            </w:r>
          </w:p>
        </w:tc>
        <w:tc>
          <w:tcPr>
            <w:tcW w:w="4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5,654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4,154</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60" w:type="dxa"/>
            <w:vAlign w:val="bottom"/>
            <w:tcBorders>
              <w:bottom w:val="single" w:sz="8" w:color="CCEEFF"/>
            </w:tcBorders>
            <w:shd w:val="clear" w:color="auto" w:fill="CCEEFF"/>
          </w:tcPr>
          <w:p>
            <w:pPr>
              <w:spacing w:after="0"/>
              <w:rPr>
                <w:sz w:val="22"/>
                <w:szCs w:val="22"/>
                <w:color w:val="auto"/>
              </w:rPr>
            </w:pPr>
          </w:p>
        </w:tc>
        <w:tc>
          <w:tcPr>
            <w:tcW w:w="5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163,318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167,455</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18</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460" w:type="dxa"/>
            <w:vAlign w:val="bottom"/>
          </w:tcPr>
          <w:p>
            <w:pPr>
              <w:spacing w:after="0"/>
              <w:rPr>
                <w:sz w:val="24"/>
                <w:szCs w:val="24"/>
                <w:color w:val="auto"/>
              </w:rPr>
            </w:pPr>
          </w:p>
        </w:tc>
        <w:tc>
          <w:tcPr>
            <w:tcW w:w="48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Repurchase of Common Stock</w:t>
      </w:r>
    </w:p>
    <w:p>
      <w:pPr>
        <w:spacing w:after="0" w:line="229" w:lineRule="exact"/>
        <w:rPr>
          <w:sz w:val="20"/>
          <w:szCs w:val="20"/>
          <w:color w:val="auto"/>
        </w:rPr>
      </w:pPr>
    </w:p>
    <w:p>
      <w:pPr>
        <w:jc w:val="both"/>
        <w:ind w:right="2260"/>
        <w:spacing w:after="0" w:line="288" w:lineRule="auto"/>
        <w:rPr>
          <w:sz w:val="20"/>
          <w:szCs w:val="20"/>
          <w:color w:val="auto"/>
        </w:rPr>
      </w:pPr>
      <w:r>
        <w:rPr>
          <w:rFonts w:ascii="Arial" w:cs="Arial" w:eastAsia="Arial" w:hAnsi="Arial"/>
          <w:sz w:val="16"/>
          <w:szCs w:val="16"/>
          <w:color w:val="auto"/>
        </w:rPr>
        <w:t>On October 7, 2015, the Company's Board of Directors approved a $50 million stock repurchase plan. As part of this plan, on August 17, 2016, the Company entered into an agreement with its CEO, Dr. Sotirios Vahaviolos, to purchase up to 1 million of his shares, commencing in October 2016. Pursuant to the agreement, in general, the Company will purchase from Dr.</w:t>
      </w:r>
    </w:p>
    <w:p>
      <w:pPr>
        <w:ind w:right="100"/>
        <w:spacing w:after="0" w:line="290" w:lineRule="auto"/>
        <w:rPr>
          <w:sz w:val="20"/>
          <w:szCs w:val="20"/>
          <w:color w:val="auto"/>
        </w:rPr>
      </w:pPr>
      <w:r>
        <w:rPr>
          <w:rFonts w:ascii="Arial" w:cs="Arial" w:eastAsia="Arial" w:hAnsi="Arial"/>
          <w:sz w:val="16"/>
          <w:szCs w:val="16"/>
          <w:color w:val="auto"/>
        </w:rPr>
        <w:t xml:space="preserve">Vahaviolos up to $2 million of shares each month, at a 2% discount to the average daily closing price of the Company's common stock for the preceding month. During the quarter ended March 31, 2017, the Company purchased approximately 256,000 shares from Dr. Vahaviolos at an average price of $23.41 per share and an aggregate cost of $6.0 million. From the inception of the plan, the Company has purchased approximately 530,000 shares from Dr. Vahaviolos at an average price of $22.63 per share for an aggregate cost of $12.0 million and approximately 146,000 shares in the open market at an average price of $20.48 per share for an aggregate cost of approximately $3.0 million. All such repurchased shares are classified as </w:t>
      </w:r>
      <w:r>
        <w:rPr>
          <w:rFonts w:ascii="Arial" w:cs="Arial" w:eastAsia="Arial" w:hAnsi="Arial"/>
          <w:sz w:val="16"/>
          <w:szCs w:val="16"/>
          <w:i w:val="1"/>
          <w:iCs w:val="1"/>
          <w:color w:val="auto"/>
        </w:rPr>
        <w:t>Treasury Stock</w:t>
      </w:r>
      <w:r>
        <w:rPr>
          <w:rFonts w:ascii="Arial" w:cs="Arial" w:eastAsia="Arial" w:hAnsi="Arial"/>
          <w:sz w:val="16"/>
          <w:szCs w:val="16"/>
          <w:color w:val="auto"/>
        </w:rPr>
        <w:t xml:space="preserve"> on the condensed consolidated balance sheet. As of March 31, 2017, approximately $35.0 million remained available to repurchase shares under the stock repurchase plan.</w:t>
      </w:r>
    </w:p>
    <w:p>
      <w:pPr>
        <w:spacing w:after="0" w:line="160"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following Management’s Discussion and Analysis (“MD&amp;A”) includes a narrative explanation and analysis of our results of operations and financial condition for the three months ended March 31, 2017 and March 31, 2016. The MD&amp;A should be read together with our condensed consolidated financial statements and related notes included in Item 1 in this Quarterly Report on Form 10-Q and our audited consolidated financial statements and related notes included in our Transition Report on Form 10-K for the transition period ended December 31, 2016, filed March 20, 2017 (“2016 Transition Report”). Unless otherwise specified or the context otherwise requires, “Mistras,” “the Company,” “we,” “us” and “our” refer to Mistras Group, Inc. and its consolidated subsidiaries. The MD&amp;A includes disclosure in the following areas:</w:t>
      </w:r>
    </w:p>
    <w:p>
      <w:pPr>
        <w:spacing w:after="0" w:line="220" w:lineRule="exact"/>
        <w:rPr>
          <w:sz w:val="20"/>
          <w:szCs w:val="20"/>
          <w:color w:val="auto"/>
        </w:rPr>
      </w:pPr>
    </w:p>
    <w:p>
      <w:pPr>
        <w:ind w:left="720" w:hanging="388"/>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Overview</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This report on Form 10-Q contains “forward-looking statements” within the meaning of Section 27A of the Securities Act of 1933, and Section 21E of the Securities Exchange Act of 1934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some cases, you can identify forward-looking statements by terminology, such as “goals,” or “expects,” “anticipates,” “intends,” “plans,” “believes,” “seeks,” “estimates,” “may,” “could,” “should,” “would,” “predicts,” “appears,” “projects,” or the negative of such terms or other similar expressions. You are urged not to place undue reliance on any such forward-looking statements, any of which may turn out to be wrong due to inaccurate assumptions, various risks, uncertainties or other factors known and unknown. Factors that could cause or contribute to differences in results and outcomes from those in our forward-looking statements include, without limitation, those discussed in the “Business—Forward-Looking Statements,” and “Risk Factors” sections of our 2016 Transition Report as well as those discussed in our other filings with the Securities and Exchange Commission (“SEC”).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offer our customers “one source for asset protection solutions”® and are a leading global provider of technology-enabled asset protection solutions used to evaluate the structural integrity and reliability of critical energy, industrial and public infrastructure. We combine industry-leading products and technologies, expertise in mechanical integrity (MI), Non-Destructive Testing (NDT), Destructive Testing (DT) and predictive maintenance (PdM) services, process and fixed asset engineering and consulting services, proprietary data analysis and our world class enterprise inspection database management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and analysis software, PCMS, to deliver a comprehensive portfolio of customized solutions, ranging from routine inspections to complex, plant-wide asset integrity management and assessments. These mission critical solutions enhance our customers’ ability to comply with governmental safety and environmental regulations, extend the useful life of their assets, increase productivity, minimize repair costs, manage risk and avoid catastrophic disasters. Our operations consist of three reportable segments: Services, International and Products and Systems.</w:t>
      </w:r>
    </w:p>
    <w:p>
      <w:pPr>
        <w:spacing w:after="0" w:line="171" w:lineRule="exact"/>
        <w:rPr>
          <w:sz w:val="20"/>
          <w:szCs w:val="20"/>
          <w:color w:val="auto"/>
        </w:rPr>
      </w:pPr>
    </w:p>
    <w:p>
      <w:pPr>
        <w:ind w:left="740" w:right="200" w:hanging="246"/>
        <w:spacing w:after="0" w:line="264" w:lineRule="auto"/>
        <w:tabs>
          <w:tab w:leader="none" w:pos="74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provides asset protection solutions predominantly in North America with the largest concentration in the United States, consisting</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of NDT, inspection and engineering services that are used to evaluate the structural integrity and reliability of critical energy, industrial and public infrastructure.</w:t>
      </w:r>
    </w:p>
    <w:p>
      <w:pPr>
        <w:spacing w:after="0" w:line="181" w:lineRule="exact"/>
        <w:rPr>
          <w:rFonts w:ascii="Arial" w:cs="Arial" w:eastAsia="Arial" w:hAnsi="Arial"/>
          <w:sz w:val="18"/>
          <w:szCs w:val="18"/>
          <w:i w:val="1"/>
          <w:iCs w:val="1"/>
          <w:color w:val="auto"/>
        </w:rPr>
      </w:pPr>
    </w:p>
    <w:p>
      <w:pPr>
        <w:ind w:left="740" w:right="20" w:hanging="246"/>
        <w:spacing w:after="0" w:line="342" w:lineRule="auto"/>
        <w:tabs>
          <w:tab w:leader="none" w:pos="740" w:val="left"/>
        </w:tabs>
        <w:numPr>
          <w:ilvl w:val="0"/>
          <w:numId w:val="2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International </w:t>
      </w:r>
      <w:r>
        <w:rPr>
          <w:rFonts w:ascii="Arial" w:cs="Arial" w:eastAsia="Arial" w:hAnsi="Arial"/>
          <w:sz w:val="16"/>
          <w:szCs w:val="16"/>
          <w:color w:val="auto"/>
        </w:rPr>
        <w:t>offers services, products and systems similar to those of the other segments to global markets, principally in Europe, the Middle East,</w:t>
      </w:r>
      <w:r>
        <w:rPr>
          <w:rFonts w:ascii="Arial" w:cs="Arial" w:eastAsia="Arial" w:hAnsi="Arial"/>
          <w:sz w:val="16"/>
          <w:szCs w:val="16"/>
          <w:i w:val="1"/>
          <w:iCs w:val="1"/>
          <w:color w:val="auto"/>
        </w:rPr>
        <w:t xml:space="preserve"> </w:t>
      </w:r>
      <w:r>
        <w:rPr>
          <w:rFonts w:ascii="Arial" w:cs="Arial" w:eastAsia="Arial" w:hAnsi="Arial"/>
          <w:sz w:val="16"/>
          <w:szCs w:val="16"/>
          <w:color w:val="auto"/>
        </w:rPr>
        <w:t>Africa, Asia and South America, but not to customers in China and South Korea, which are served by the Products and Systems segment.</w:t>
      </w:r>
    </w:p>
    <w:p>
      <w:pPr>
        <w:spacing w:after="0" w:line="123" w:lineRule="exact"/>
        <w:rPr>
          <w:rFonts w:ascii="Arial" w:cs="Arial" w:eastAsia="Arial" w:hAnsi="Arial"/>
          <w:sz w:val="16"/>
          <w:szCs w:val="16"/>
          <w:i w:val="1"/>
          <w:iCs w:val="1"/>
          <w:color w:val="auto"/>
        </w:rPr>
      </w:pPr>
    </w:p>
    <w:p>
      <w:pPr>
        <w:ind w:left="740" w:hanging="246"/>
        <w:spacing w:after="0" w:line="277" w:lineRule="auto"/>
        <w:tabs>
          <w:tab w:leader="none" w:pos="74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designs, manufactures, sells, installs and services the Company’s asset protection products and systems, including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instrumentation, predominantly in the United States.</w:t>
      </w:r>
    </w:p>
    <w:p>
      <w:pPr>
        <w:spacing w:after="0" w:line="170"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Given the role our solutions play in ensuring the safe and efficient operation of infrastructure, we provide a majority of our services to our customers on a regular, recurring basis. We serve a global customer base of companies with asset-intensive infrastructure, including companies in the oil and gas (downstream, midstream, upstream and petrochemical), power generation (natural gas, fossil, nuclear, alternative, renewable, and transmission and distribution), public infrastructure, chemicals, commercial aerospace and defense, transportation, primary metals and metalworking, pharmaceutical/biotechnology and food processing industries and research and engineering institutions. We have established long-term relationships as a critical solutions provider to many of the leading companies in our target markets.</w:t>
      </w:r>
    </w:p>
    <w:p>
      <w:pPr>
        <w:spacing w:after="0" w:line="17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have focused on introducing our advanced asset protection solutions to our customers using proprietary, technology-enabled software and testing instruments, including those developed by our Products and Systems segment. We have made a number of acquisitions in an effort to grow our base of experienced, certified personnel, expand our product and technical capabilities, increase our geographical reach and leverage our fixed costs. We have increased our capabilities and the size of our customer base through the development of applied technologies and managed support services, organic growth and the integration of acquired companies. These acquisitions have provided us with additional products, technologies, resources and customers that we believe will enhance our advantages over our competition.</w:t>
      </w:r>
    </w:p>
    <w:p>
      <w:pPr>
        <w:spacing w:after="0" w:line="19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Demand for outsourced asset protection solutions has generally increased over the last ten years, creating demand from which our entire industry has benefited. We believe continued growth can be realized in all of our target markets. However, current market conditions are soft, driven by lower oil prices which have caused many of the Company’s customers to curtail spending.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results of operations for the three months ended March 31, 2017 and March 31, 2016 were as follows:</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121" w:right="29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786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582"/>
        </w:trPr>
        <w:tc>
          <w:tcPr>
            <w:tcW w:w="1020" w:type="dxa"/>
            <w:vAlign w:val="bottom"/>
            <w:tcBorders>
              <w:top w:val="single" w:sz="8" w:color="0000EE"/>
            </w:tcBorders>
          </w:tcPr>
          <w:p>
            <w:pPr>
              <w:spacing w:after="0"/>
              <w:rPr>
                <w:sz w:val="24"/>
                <w:szCs w:val="24"/>
                <w:color w:val="auto"/>
              </w:rPr>
            </w:pPr>
          </w:p>
        </w:tc>
        <w:tc>
          <w:tcPr>
            <w:tcW w:w="68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jc w:val="right"/>
              <w:ind w:right="1051"/>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1020" w:type="dxa"/>
            <w:vAlign w:val="bottom"/>
          </w:tcPr>
          <w:p>
            <w:pPr>
              <w:spacing w:after="0"/>
              <w:rPr>
                <w:sz w:val="22"/>
                <w:szCs w:val="22"/>
                <w:color w:val="auto"/>
              </w:rPr>
            </w:pPr>
          </w:p>
        </w:tc>
        <w:tc>
          <w:tcPr>
            <w:tcW w:w="68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2017</w:t>
            </w: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March 31, 2016</w:t>
            </w:r>
          </w:p>
        </w:tc>
      </w:tr>
      <w:tr>
        <w:trPr>
          <w:trHeight w:val="196"/>
        </w:trPr>
        <w:tc>
          <w:tcPr>
            <w:tcW w:w="102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80" w:type="dxa"/>
            <w:vAlign w:val="bottom"/>
            <w:gridSpan w:val="4"/>
          </w:tcPr>
          <w:p>
            <w:pPr>
              <w:jc w:val="right"/>
              <w:ind w:right="1191"/>
              <w:spacing w:after="0"/>
              <w:rPr>
                <w:sz w:val="20"/>
                <w:szCs w:val="20"/>
                <w:color w:val="auto"/>
              </w:rPr>
            </w:pPr>
            <w:r>
              <w:rPr>
                <w:rFonts w:ascii="Arial" w:cs="Arial" w:eastAsia="Arial" w:hAnsi="Arial"/>
                <w:sz w:val="14"/>
                <w:szCs w:val="14"/>
                <w:b w:val="1"/>
                <w:bCs w:val="1"/>
                <w:color w:val="auto"/>
              </w:rPr>
              <w:t>($ in thousands)</w:t>
            </w:r>
          </w:p>
        </w:tc>
      </w:tr>
      <w:tr>
        <w:trPr>
          <w:trHeight w:val="256"/>
        </w:trPr>
        <w:tc>
          <w:tcPr>
            <w:tcW w:w="7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163,318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167,455</w:t>
            </w:r>
          </w:p>
        </w:tc>
      </w:tr>
      <w:tr>
        <w:trPr>
          <w:trHeight w:val="243"/>
        </w:trPr>
        <w:tc>
          <w:tcPr>
            <w:tcW w:w="7860" w:type="dxa"/>
            <w:vAlign w:val="bottom"/>
            <w:gridSpan w:val="2"/>
          </w:tcPr>
          <w:p>
            <w:pPr>
              <w:ind w:left="40"/>
              <w:spacing w:after="0"/>
              <w:rPr>
                <w:sz w:val="20"/>
                <w:szCs w:val="20"/>
                <w:color w:val="auto"/>
              </w:rPr>
            </w:pPr>
            <w:r>
              <w:rPr>
                <w:rFonts w:ascii="Arial" w:cs="Arial" w:eastAsia="Arial" w:hAnsi="Arial"/>
                <w:sz w:val="18"/>
                <w:szCs w:val="18"/>
                <w:b w:val="1"/>
                <w:bCs w:val="1"/>
                <w:color w:val="auto"/>
              </w:rPr>
              <w:t>Gross profit</w:t>
            </w:r>
          </w:p>
        </w:tc>
        <w:tc>
          <w:tcPr>
            <w:tcW w:w="280" w:type="dxa"/>
            <w:vAlign w:val="bottom"/>
          </w:tcPr>
          <w:p>
            <w:pPr>
              <w:spacing w:after="0"/>
              <w:rPr>
                <w:sz w:val="21"/>
                <w:szCs w:val="21"/>
                <w:color w:val="auto"/>
              </w:rPr>
            </w:pPr>
          </w:p>
        </w:tc>
        <w:tc>
          <w:tcPr>
            <w:tcW w:w="1500" w:type="dxa"/>
            <w:vAlign w:val="bottom"/>
          </w:tcPr>
          <w:p>
            <w:pPr>
              <w:jc w:val="right"/>
              <w:ind w:right="113"/>
              <w:spacing w:after="0"/>
              <w:rPr>
                <w:sz w:val="20"/>
                <w:szCs w:val="20"/>
                <w:color w:val="auto"/>
              </w:rPr>
            </w:pPr>
            <w:r>
              <w:rPr>
                <w:rFonts w:ascii="Arial" w:cs="Arial" w:eastAsia="Arial" w:hAnsi="Arial"/>
                <w:sz w:val="18"/>
                <w:szCs w:val="18"/>
                <w:color w:val="auto"/>
              </w:rPr>
              <w:t>43,153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43,970</w:t>
            </w:r>
          </w:p>
        </w:tc>
      </w:tr>
      <w:tr>
        <w:trPr>
          <w:trHeight w:val="27"/>
        </w:trPr>
        <w:tc>
          <w:tcPr>
            <w:tcW w:w="10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Gross profit as a % of Revenue</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786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21"/>
                <w:szCs w:val="21"/>
                <w:color w:val="auto"/>
              </w:rPr>
            </w:pPr>
          </w:p>
        </w:tc>
        <w:tc>
          <w:tcPr>
            <w:tcW w:w="1500" w:type="dxa"/>
            <w:vAlign w:val="bottom"/>
          </w:tcPr>
          <w:p>
            <w:pPr>
              <w:jc w:val="right"/>
              <w:ind w:right="113"/>
              <w:spacing w:after="0"/>
              <w:rPr>
                <w:sz w:val="20"/>
                <w:szCs w:val="20"/>
                <w:color w:val="auto"/>
              </w:rPr>
            </w:pPr>
            <w:r>
              <w:rPr>
                <w:rFonts w:ascii="Arial" w:cs="Arial" w:eastAsia="Arial" w:hAnsi="Arial"/>
                <w:sz w:val="18"/>
                <w:szCs w:val="18"/>
                <w:color w:val="auto"/>
              </w:rPr>
              <w:t>39,903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38,324</w:t>
            </w:r>
          </w:p>
        </w:tc>
      </w:tr>
      <w:tr>
        <w:trPr>
          <w:trHeight w:val="27"/>
        </w:trPr>
        <w:tc>
          <w:tcPr>
            <w:tcW w:w="10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Operating expenses as a % of Revenue</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786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tcPr>
          <w:p>
            <w:pPr>
              <w:spacing w:after="0"/>
              <w:rPr>
                <w:sz w:val="21"/>
                <w:szCs w:val="21"/>
                <w:color w:val="auto"/>
              </w:rPr>
            </w:pPr>
          </w:p>
        </w:tc>
        <w:tc>
          <w:tcPr>
            <w:tcW w:w="1500" w:type="dxa"/>
            <w:vAlign w:val="bottom"/>
          </w:tcPr>
          <w:p>
            <w:pPr>
              <w:jc w:val="right"/>
              <w:ind w:right="113"/>
              <w:spacing w:after="0"/>
              <w:rPr>
                <w:sz w:val="20"/>
                <w:szCs w:val="20"/>
                <w:color w:val="auto"/>
              </w:rPr>
            </w:pPr>
            <w:r>
              <w:rPr>
                <w:rFonts w:ascii="Arial" w:cs="Arial" w:eastAsia="Arial" w:hAnsi="Arial"/>
                <w:sz w:val="18"/>
                <w:szCs w:val="18"/>
                <w:color w:val="auto"/>
              </w:rPr>
              <w:t>3,250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5,646</w:t>
            </w:r>
          </w:p>
        </w:tc>
      </w:tr>
      <w:tr>
        <w:trPr>
          <w:trHeight w:val="27"/>
        </w:trPr>
        <w:tc>
          <w:tcPr>
            <w:tcW w:w="10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Income from Operations as a % of Revenue</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786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500" w:type="dxa"/>
            <w:vAlign w:val="bottom"/>
          </w:tcPr>
          <w:p>
            <w:pPr>
              <w:jc w:val="right"/>
              <w:ind w:right="113"/>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1,100</w:t>
            </w:r>
          </w:p>
        </w:tc>
      </w:tr>
      <w:tr>
        <w:trPr>
          <w:trHeight w:val="27"/>
        </w:trPr>
        <w:tc>
          <w:tcPr>
            <w:tcW w:w="102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2,232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4,546</w:t>
            </w:r>
          </w:p>
        </w:tc>
      </w:tr>
      <w:tr>
        <w:trPr>
          <w:trHeight w:val="243"/>
        </w:trPr>
        <w:tc>
          <w:tcPr>
            <w:tcW w:w="786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21"/>
                <w:szCs w:val="21"/>
                <w:color w:val="auto"/>
              </w:rPr>
            </w:pPr>
          </w:p>
        </w:tc>
        <w:tc>
          <w:tcPr>
            <w:tcW w:w="1500" w:type="dxa"/>
            <w:vAlign w:val="bottom"/>
          </w:tcPr>
          <w:p>
            <w:pPr>
              <w:jc w:val="right"/>
              <w:ind w:right="113"/>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1,088</w:t>
            </w:r>
          </w:p>
        </w:tc>
      </w:tr>
      <w:tr>
        <w:trPr>
          <w:trHeight w:val="27"/>
        </w:trPr>
        <w:tc>
          <w:tcPr>
            <w:tcW w:w="102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1,698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3,458</w:t>
            </w:r>
          </w:p>
        </w:tc>
      </w:tr>
      <w:tr>
        <w:trPr>
          <w:trHeight w:val="243"/>
        </w:trPr>
        <w:tc>
          <w:tcPr>
            <w:tcW w:w="7860" w:type="dxa"/>
            <w:vAlign w:val="bottom"/>
            <w:gridSpan w:val="2"/>
          </w:tcPr>
          <w:p>
            <w:pPr>
              <w:ind w:left="180"/>
              <w:spacing w:after="0"/>
              <w:rPr>
                <w:sz w:val="20"/>
                <w:szCs w:val="20"/>
                <w:color w:val="auto"/>
              </w:rPr>
            </w:pPr>
            <w:r>
              <w:rPr>
                <w:rFonts w:ascii="Arial" w:cs="Arial" w:eastAsia="Arial" w:hAnsi="Arial"/>
                <w:sz w:val="18"/>
                <w:szCs w:val="18"/>
                <w:color w:val="auto"/>
              </w:rPr>
              <w:t>Less: net income attributable to noncontrolling interests, net of taxes</w:t>
            </w:r>
          </w:p>
        </w:tc>
        <w:tc>
          <w:tcPr>
            <w:tcW w:w="280" w:type="dxa"/>
            <w:vAlign w:val="bottom"/>
          </w:tcPr>
          <w:p>
            <w:pPr>
              <w:spacing w:after="0"/>
              <w:rPr>
                <w:sz w:val="21"/>
                <w:szCs w:val="21"/>
                <w:color w:val="auto"/>
              </w:rPr>
            </w:pPr>
          </w:p>
        </w:tc>
        <w:tc>
          <w:tcPr>
            <w:tcW w:w="1500" w:type="dxa"/>
            <w:vAlign w:val="bottom"/>
          </w:tcPr>
          <w:p>
            <w:pPr>
              <w:jc w:val="right"/>
              <w:ind w:right="1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11</w:t>
            </w:r>
          </w:p>
        </w:tc>
      </w:tr>
      <w:tr>
        <w:trPr>
          <w:trHeight w:val="27"/>
        </w:trPr>
        <w:tc>
          <w:tcPr>
            <w:tcW w:w="102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7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Mistras Group, Inc.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1,692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3,447</w:t>
            </w:r>
          </w:p>
        </w:tc>
      </w:tr>
      <w:tr>
        <w:trPr>
          <w:trHeight w:val="20"/>
        </w:trPr>
        <w:tc>
          <w:tcPr>
            <w:tcW w:w="10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About Non-GAAP Measures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this MD&amp;A under the heading "Income from Operations", the non-GAAP financial performance measure "Income before special items” is used for each of our three segments, the Corporate segment and the "Total Company", with tables reconciling the measure to a financial measure under GAAP. This non-GAAP measure excludes from the GAAP measure "Income from Operations" (a) transaction expenses related to acquisitions, such as professional fees and due diligence costs, (b) the net changes in the fair value of acquisition-related contingent consideration liabilities and (c) non-recurring items. These items have been excluded from the GAAP measure because these expenses and credits are not related to the Company’s or Segment’s core business operations. The acquisition related costs and special items can be a net expense or credit in any given period.</w:t>
      </w:r>
    </w:p>
    <w:p>
      <w:pPr>
        <w:spacing w:after="0" w:line="178"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believe investors and other users of our financial statements benefit from the presentation of "Income before special items" in evaluating our performance. Income before special items provides an additional tool to compare our core business operating performance on a consistent basis and measure underlying trends and results in our business. Income before special items is not used to determine incentive compensation for executives or employees.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Revenues for the three months ended March 31, 2017 were $163.3 million, a decrease of $4.1 million, or 2.5%, compared with the three months ended March 31,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Revenues by segment for the three months ended March 31, 2017 and March 31, 2016 were as follows:</w:t>
      </w:r>
    </w:p>
    <w:p>
      <w:pPr>
        <w:spacing w:after="0" w:line="379"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23495</wp:posOffset>
            </wp:positionV>
            <wp:extent cx="21012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03" w:lineRule="exact"/>
        <w:rPr>
          <w:sz w:val="20"/>
          <w:szCs w:val="20"/>
          <w:color w:val="auto"/>
        </w:rPr>
      </w:pPr>
    </w:p>
    <w:p>
      <w:pPr>
        <w:ind w:left="8440"/>
        <w:spacing w:after="0"/>
        <w:tabs>
          <w:tab w:leader="none" w:pos="10120" w:val="left"/>
        </w:tabs>
        <w:rPr>
          <w:sz w:val="20"/>
          <w:szCs w:val="20"/>
          <w:color w:val="auto"/>
        </w:rPr>
      </w:pPr>
      <w:r>
        <w:rPr>
          <w:rFonts w:ascii="Arial" w:cs="Arial" w:eastAsia="Arial" w:hAnsi="Arial"/>
          <w:sz w:val="14"/>
          <w:szCs w:val="14"/>
          <w:b w:val="1"/>
          <w:bCs w:val="1"/>
          <w:color w:val="auto"/>
        </w:rPr>
        <w:t>March 31, 2017</w:t>
      </w:r>
      <w:r>
        <w:rPr>
          <w:sz w:val="20"/>
          <w:szCs w:val="20"/>
          <w:color w:val="auto"/>
        </w:rPr>
        <w:tab/>
      </w:r>
      <w:r>
        <w:rPr>
          <w:rFonts w:ascii="Arial" w:cs="Arial" w:eastAsia="Arial" w:hAnsi="Arial"/>
          <w:sz w:val="13"/>
          <w:szCs w:val="13"/>
          <w:b w:val="1"/>
          <w:bCs w:val="1"/>
          <w:color w:val="auto"/>
        </w:rPr>
        <w:t>March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23495</wp:posOffset>
            </wp:positionV>
            <wp:extent cx="21012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5" w:lineRule="exact"/>
        <w:rPr>
          <w:sz w:val="20"/>
          <w:szCs w:val="20"/>
          <w:color w:val="auto"/>
        </w:rPr>
      </w:pPr>
    </w:p>
    <w:p>
      <w:pPr>
        <w:ind w:left="9280"/>
        <w:spacing w:after="0"/>
        <w:rPr>
          <w:sz w:val="20"/>
          <w:szCs w:val="20"/>
          <w:color w:val="auto"/>
        </w:rPr>
      </w:pPr>
      <w:r>
        <w:rPr>
          <w:rFonts w:ascii="Arial" w:cs="Arial" w:eastAsia="Arial" w:hAnsi="Arial"/>
          <w:sz w:val="14"/>
          <w:szCs w:val="14"/>
          <w:b w:val="1"/>
          <w:bCs w:val="1"/>
          <w:color w:val="auto"/>
        </w:rPr>
        <w:t>($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5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Services</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126,329</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131,579</w:t>
            </w:r>
          </w:p>
        </w:tc>
      </w:tr>
      <w:tr>
        <w:trPr>
          <w:trHeight w:val="27"/>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34,256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30,980</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5,550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6,680</w:t>
            </w:r>
          </w:p>
        </w:tc>
      </w:tr>
      <w:tr>
        <w:trPr>
          <w:trHeight w:val="27"/>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5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(1,784)</w:t>
            </w:r>
          </w:p>
        </w:tc>
      </w:tr>
      <w:tr>
        <w:trPr>
          <w:trHeight w:val="237"/>
        </w:trPr>
        <w:tc>
          <w:tcPr>
            <w:tcW w:w="812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163,318</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167,455</w:t>
            </w:r>
          </w:p>
        </w:tc>
      </w:tr>
      <w:tr>
        <w:trPr>
          <w:trHeight w:val="27"/>
        </w:trPr>
        <w:tc>
          <w:tcPr>
            <w:tcW w:w="8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the three months ended March 31, 2017, Services segment revenues decreased 4% due to a combination of mid single digit organic decline, offset by low single digit acquisition growth. International segment revenues increased by 11%, driven by mid</w:t>
      </w:r>
    </w:p>
    <w:p>
      <w:pPr>
        <w:sectPr>
          <w:pgSz w:w="11900" w:h="16838" w:orient="portrait"/>
          <w:cols w:equalWidth="0" w:num="1">
            <w:col w:w="11420"/>
          </w:cols>
          <w:pgMar w:left="240" w:top="114"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14" w:right="23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double digit organic growth, offset by a mid single digit unfavorable impact of foreign exchange rates. Products and Systems segment revenues decreased by 17% driven by lower sales volume.</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Oil and gas revenues were a primary driver for the decline in total revenues for the three months ended March 31, 2017 as compared with the three months ended March 31, 2016. Oil and gas revenues comprised approximately 59% of total Company revenues for both periods. The Company’s top ten customers comprised approximately 43% of total revenues for the three months ended March 31, 2017 from 41% for the three months ended March 31, 2016. One customer, BP plc., accounted for approximately 11% of our total revenues for the three months ended March 31, 2017 and 10% of our revenues for the three months ended March 31,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Gross profit decreased by $0.8 million, or 1.9%, in the three months ended March 31, 2017, on a sales decline of 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Gross profit by segment for the three months ended March 31, 2017 and March 31, 2016 was as follows:</w:t>
      </w:r>
    </w:p>
    <w:p>
      <w:pPr>
        <w:spacing w:after="0" w:line="379"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23495</wp:posOffset>
            </wp:positionV>
            <wp:extent cx="21869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103" w:lineRule="exact"/>
        <w:rPr>
          <w:sz w:val="20"/>
          <w:szCs w:val="20"/>
          <w:color w:val="auto"/>
        </w:rPr>
      </w:pPr>
    </w:p>
    <w:p>
      <w:pPr>
        <w:ind w:left="8340"/>
        <w:spacing w:after="0"/>
        <w:tabs>
          <w:tab w:leader="none" w:pos="10080" w:val="left"/>
        </w:tabs>
        <w:rPr>
          <w:sz w:val="20"/>
          <w:szCs w:val="20"/>
          <w:color w:val="auto"/>
        </w:rPr>
      </w:pPr>
      <w:r>
        <w:rPr>
          <w:rFonts w:ascii="Arial" w:cs="Arial" w:eastAsia="Arial" w:hAnsi="Arial"/>
          <w:sz w:val="14"/>
          <w:szCs w:val="14"/>
          <w:b w:val="1"/>
          <w:bCs w:val="1"/>
          <w:color w:val="auto"/>
        </w:rPr>
        <w:t>March 31, 2017</w:t>
      </w:r>
      <w:r>
        <w:rPr>
          <w:sz w:val="20"/>
          <w:szCs w:val="20"/>
          <w:color w:val="auto"/>
        </w:rPr>
        <w:tab/>
      </w:r>
      <w:r>
        <w:rPr>
          <w:rFonts w:ascii="Arial" w:cs="Arial" w:eastAsia="Arial" w:hAnsi="Arial"/>
          <w:sz w:val="13"/>
          <w:szCs w:val="13"/>
          <w:b w:val="1"/>
          <w:bCs w:val="1"/>
          <w:color w:val="auto"/>
        </w:rPr>
        <w:t>March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23495</wp:posOffset>
            </wp:positionV>
            <wp:extent cx="21869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35"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5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Services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30,213</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32,458</w:t>
            </w:r>
          </w:p>
        </w:tc>
      </w:tr>
      <w:tr>
        <w:trPr>
          <w:trHeight w:val="27"/>
        </w:trPr>
        <w:tc>
          <w:tcPr>
            <w:tcW w:w="7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segment revenue</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24.7%</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54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10,460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8,673</w:t>
            </w:r>
          </w:p>
        </w:tc>
      </w:tr>
      <w:tr>
        <w:trPr>
          <w:trHeight w:val="27"/>
        </w:trPr>
        <w:tc>
          <w:tcPr>
            <w:tcW w:w="7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segment revenue</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28.0%</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54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2,594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2,738</w:t>
            </w:r>
          </w:p>
        </w:tc>
      </w:tr>
      <w:tr>
        <w:trPr>
          <w:trHeight w:val="27"/>
        </w:trPr>
        <w:tc>
          <w:tcPr>
            <w:tcW w:w="7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segment revenue</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41.0%</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Corporate and eliminations</w:t>
            </w:r>
          </w:p>
        </w:tc>
        <w:tc>
          <w:tcPr>
            <w:tcW w:w="54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101</w:t>
            </w:r>
          </w:p>
        </w:tc>
      </w:tr>
      <w:tr>
        <w:trPr>
          <w:trHeight w:val="27"/>
        </w:trPr>
        <w:tc>
          <w:tcPr>
            <w:tcW w:w="79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79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43,153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43,970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980" w:type="dxa"/>
            <w:vAlign w:val="bottom"/>
          </w:tcPr>
          <w:p>
            <w:pPr>
              <w:ind w:left="300"/>
              <w:spacing w:after="0"/>
              <w:rPr>
                <w:sz w:val="20"/>
                <w:szCs w:val="20"/>
                <w:color w:val="auto"/>
              </w:rPr>
            </w:pPr>
            <w:r>
              <w:rPr>
                <w:rFonts w:ascii="Arial" w:cs="Arial" w:eastAsia="Arial" w:hAnsi="Arial"/>
                <w:sz w:val="18"/>
                <w:szCs w:val="18"/>
                <w:i w:val="1"/>
                <w:iCs w:val="1"/>
                <w:color w:val="auto"/>
              </w:rPr>
              <w:t>% of total revenue</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26.4%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26.3%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2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As a percentage of revenues, gross profit was 26.4% and 26.3% for the three months ended March 31, 2017 and 2016, respectively. Services segment gross profit margins decreased to 23.9% in the three months ended March 31, 2017 compared to 24.7% in the three months ended March 31, 2016. The 80 basis point decrease was primarily driven by a change in sales mix. International segment gross margins increased to 30.5% in the three months ended March 31, 2017 compared with 28.0% in the three months ended March 31, 2016. The 250 basis point increase was driven by improvements in technical labor utilization, sales mix and overhead utilization. Products and Systems segment gross margin improved by 570 basis points for the three months ended March 31, 2017 to 46.7% compared with 41.0% in the three months ended March 31, 2016, driven by a change in sales mix.</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Operations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shows a reconciliation of the income from operations to income before special items for each of the Company's three segments and for the Company in total:</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031"/>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9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2017</w:t>
            </w: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March 31, 2016</w:t>
            </w:r>
          </w:p>
        </w:tc>
      </w:tr>
      <w:tr>
        <w:trPr>
          <w:trHeight w:val="196"/>
        </w:trPr>
        <w:tc>
          <w:tcPr>
            <w:tcW w:w="7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80" w:type="dxa"/>
            <w:vAlign w:val="bottom"/>
            <w:gridSpan w:val="4"/>
          </w:tcPr>
          <w:p>
            <w:pPr>
              <w:jc w:val="right"/>
              <w:ind w:right="1171"/>
              <w:spacing w:after="0"/>
              <w:rPr>
                <w:sz w:val="20"/>
                <w:szCs w:val="20"/>
                <w:color w:val="auto"/>
              </w:rPr>
            </w:pPr>
            <w:r>
              <w:rPr>
                <w:rFonts w:ascii="Arial" w:cs="Arial" w:eastAsia="Arial" w:hAnsi="Arial"/>
                <w:sz w:val="14"/>
                <w:szCs w:val="14"/>
                <w:b w:val="1"/>
                <w:bCs w:val="1"/>
                <w:color w:val="auto"/>
              </w:rPr>
              <w:t>($ in thousands)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Services:</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7,380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11,339</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Bad debt provision for a customer bankruptcy</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Severance costs</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37"/>
        </w:trPr>
        <w:tc>
          <w:tcPr>
            <w:tcW w:w="7900" w:type="dxa"/>
            <w:vAlign w:val="bottom"/>
          </w:tcPr>
          <w:p>
            <w:pPr>
              <w:ind w:left="180"/>
              <w:spacing w:after="0"/>
              <w:rPr>
                <w:sz w:val="20"/>
                <w:szCs w:val="20"/>
                <w:color w:val="auto"/>
              </w:rPr>
            </w:pPr>
            <w:r>
              <w:rPr>
                <w:rFonts w:ascii="Arial" w:cs="Arial" w:eastAsia="Arial" w:hAnsi="Arial"/>
                <w:sz w:val="18"/>
                <w:szCs w:val="18"/>
                <w:color w:val="auto"/>
              </w:rPr>
              <w:t>Income before special items</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8,472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11,166</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International:</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3,034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720</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Severance costs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20</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special items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Products and Systems:</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Severance costs</w:t>
            </w:r>
          </w:p>
        </w:tc>
        <w:tc>
          <w:tcPr>
            <w:tcW w:w="2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7900" w:type="dxa"/>
            <w:vAlign w:val="bottom"/>
          </w:tcPr>
          <w:p>
            <w:pPr>
              <w:ind w:left="180"/>
              <w:spacing w:after="0"/>
              <w:rPr>
                <w:sz w:val="20"/>
                <w:szCs w:val="20"/>
                <w:color w:val="auto"/>
              </w:rPr>
            </w:pPr>
            <w:r>
              <w:rPr>
                <w:rFonts w:ascii="Arial" w:cs="Arial" w:eastAsia="Arial" w:hAnsi="Arial"/>
                <w:sz w:val="18"/>
                <w:szCs w:val="18"/>
                <w:color w:val="auto"/>
              </w:rPr>
              <w:t>Loss before special items</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Corporate and Eliminations: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(6,715)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(6,281)</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7900" w:type="dxa"/>
            <w:vAlign w:val="bottom"/>
          </w:tcPr>
          <w:p>
            <w:pPr>
              <w:ind w:left="180"/>
              <w:spacing w:after="0"/>
              <w:rPr>
                <w:sz w:val="20"/>
                <w:szCs w:val="20"/>
                <w:color w:val="auto"/>
              </w:rPr>
            </w:pPr>
            <w:r>
              <w:rPr>
                <w:rFonts w:ascii="Arial" w:cs="Arial" w:eastAsia="Arial" w:hAnsi="Arial"/>
                <w:sz w:val="18"/>
                <w:szCs w:val="18"/>
                <w:color w:val="auto"/>
              </w:rPr>
              <w:t>Loss before special items</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(6,281)</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Company</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304"/>
        </w:trPr>
        <w:tc>
          <w:tcPr>
            <w:tcW w:w="7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3,250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5,646</w:t>
            </w:r>
          </w:p>
        </w:tc>
      </w:tr>
      <w:tr>
        <w:trPr>
          <w:trHeight w:val="251"/>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Bad debt provision for a customer bankruptcy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91"/>
        </w:trPr>
        <w:tc>
          <w:tcPr>
            <w:tcW w:w="7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Severance costs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54</w:t>
            </w:r>
          </w:p>
        </w:tc>
      </w:tr>
      <w:tr>
        <w:trPr>
          <w:trHeight w:val="251"/>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51"/>
        </w:trPr>
        <w:tc>
          <w:tcPr>
            <w:tcW w:w="7900" w:type="dxa"/>
            <w:vAlign w:val="bottom"/>
          </w:tcPr>
          <w:p>
            <w:pPr>
              <w:ind w:left="180"/>
              <w:spacing w:after="0"/>
              <w:rPr>
                <w:sz w:val="20"/>
                <w:szCs w:val="20"/>
                <w:color w:val="auto"/>
              </w:rPr>
            </w:pPr>
            <w:r>
              <w:rPr>
                <w:rFonts w:ascii="Arial" w:cs="Arial" w:eastAsia="Arial" w:hAnsi="Arial"/>
                <w:sz w:val="18"/>
                <w:szCs w:val="18"/>
                <w:color w:val="auto"/>
              </w:rPr>
              <w:t>Income before special items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3,935</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5,547</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17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For the three months ended March 31, 2017, income from operations (GAAP) decreased $2.4 million, or 42%, compared with the three months ended March 31, 2016 and income before special items (non-GAAP) decreased $1.6 million, or 29%. As a percentage of revenues, income before special items declined by 90 basis points to 2.4% in the three months ended March 31, 2017 from 3.3% in the three months ended March 31, 2016.</w:t>
      </w:r>
    </w:p>
    <w:p>
      <w:pPr>
        <w:spacing w:after="0" w:line="2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Operating expenses increased $1.6 million during the three months ended March 31, 2017, driven primarily by a $1.2 million bad debt provision taken in the first quarter of 2017 pertaining to a customer's Chapter 11 bankruptcy filing.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was approximately $1.0 million and $1.1 million for the three months ended March 31, 2017 and 2016, respectively.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Company’s effective income tax rate was approximately 24% for the three months ended March 31, 2017 and 2016. The effective income tax rate for the first quarter of each of 2017 and 2016 was lower than the anticipated annual effective tax rate due to discrete items.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flows are summarized in the table below:</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March 31, 2017</w:t>
            </w: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March 31, 2016</w:t>
            </w:r>
          </w:p>
        </w:tc>
      </w:tr>
      <w:tr>
        <w:trPr>
          <w:trHeight w:val="196"/>
        </w:trPr>
        <w:tc>
          <w:tcPr>
            <w:tcW w:w="8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80" w:type="dxa"/>
            <w:vAlign w:val="bottom"/>
            <w:gridSpan w:val="4"/>
          </w:tcPr>
          <w:p>
            <w:pPr>
              <w:jc w:val="right"/>
              <w:ind w:right="1053"/>
              <w:spacing w:after="0"/>
              <w:rPr>
                <w:sz w:val="20"/>
                <w:szCs w:val="20"/>
                <w:color w:val="auto"/>
              </w:rPr>
            </w:pPr>
            <w:r>
              <w:rPr>
                <w:rFonts w:ascii="Arial" w:cs="Arial" w:eastAsia="Arial" w:hAnsi="Arial"/>
                <w:sz w:val="14"/>
                <w:szCs w:val="14"/>
                <w:b w:val="1"/>
                <w:bCs w:val="1"/>
                <w:color w:val="auto"/>
              </w:rPr>
              <w:t>($ in thousands)</w:t>
            </w: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7"/>
              <w:spacing w:after="0"/>
              <w:rPr>
                <w:sz w:val="20"/>
                <w:szCs w:val="20"/>
                <w:color w:val="auto"/>
              </w:rPr>
            </w:pPr>
            <w:r>
              <w:rPr>
                <w:rFonts w:ascii="Arial" w:cs="Arial" w:eastAsia="Arial" w:hAnsi="Arial"/>
                <w:sz w:val="18"/>
                <w:szCs w:val="18"/>
                <w:color w:val="auto"/>
              </w:rPr>
              <w:t>13,413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29,113</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(4,109)</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220" w:type="dxa"/>
            <w:vAlign w:val="bottom"/>
          </w:tcPr>
          <w:p>
            <w:pPr>
              <w:spacing w:after="0"/>
              <w:rPr>
                <w:sz w:val="21"/>
                <w:szCs w:val="21"/>
                <w:color w:val="auto"/>
              </w:rPr>
            </w:pPr>
          </w:p>
        </w:tc>
        <w:tc>
          <w:tcPr>
            <w:tcW w:w="1380" w:type="dxa"/>
            <w:vAlign w:val="bottom"/>
          </w:tcPr>
          <w:p>
            <w:pPr>
              <w:jc w:val="right"/>
              <w:ind w:right="17"/>
              <w:spacing w:after="0"/>
              <w:rPr>
                <w:sz w:val="20"/>
                <w:szCs w:val="20"/>
                <w:color w:val="auto"/>
              </w:rPr>
            </w:pPr>
            <w:r>
              <w:rPr>
                <w:rFonts w:ascii="Arial" w:cs="Arial" w:eastAsia="Arial" w:hAnsi="Arial"/>
                <w:sz w:val="18"/>
                <w:szCs w:val="18"/>
                <w:color w:val="auto"/>
              </w:rPr>
              <w:t>2,853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(18,888)</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8,438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6,027</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During the three months ended March 31, 2017, cash provided by operating activities was $13.4 million, a decrease of $15.7 million, or 54%. The decrease was primarily attributable to the timing of collections and the payment of a $6.3 million legal settlement</w:t>
      </w:r>
      <w:r>
        <w:rPr>
          <w:rFonts w:ascii="Arial" w:cs="Arial" w:eastAsia="Arial" w:hAnsi="Arial"/>
          <w:sz w:val="18"/>
          <w:szCs w:val="18"/>
          <w:color w:val="FF0000"/>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the three months ended March 31, 2017, cash used in investing activities was $8.1 million, compared with a cash outflow of $4.1 million in the comparable period of the prior year. The first three months of 2017 included $4.5 million outflow related to acquisitions, compared with no acquisition activity for the comparable period in 2016. Cash used for capital expenditures was $3.8 million and $4.2 million in the first three months of 2017 and 2016,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9"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Net cash provided by financing activities was $2.9 million for the three months ended March 31, 2017. The Company borrowed $10.1 net on its Credit Agreement, of which $6.0 million was used to purchase treasury stock and $4.5 million was used for an acquisition. For the comparable period in 2016, net cash used by financing activities was $18.9 million, of which $17.6 million was to reduce its debt and capital lease obligations.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effect of exchange rate changes on our cash and cash equivalents was a net increase of $0.3 million in the first three months of 2017, compared to a $0.1 million reduction for the first three months of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Balance and Credit Facility Borrowings</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 xml:space="preserve">The terms of our Credit Agreement have not changed from those set forth in Part II, Item 7 of our 2016 Transition Report under the Section “Liquidity and Capital Resources”, under the heading “Cash Balance and Credit Facility Borrowings,” and Note 10 -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to these condensed consolidated financial statements in this Quarterly Report, under the heading “Senior Credit Facility.”</w:t>
      </w:r>
    </w:p>
    <w:p>
      <w:pPr>
        <w:spacing w:after="0" w:line="181"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As of March 31, 2017, we had cash and cash equivalents totaling $27.6 million and available borrowing capacity of $76.3 million under our Credit Agreement with borrowings of $93.0 million and $5.7 million of letters of credit outstanding. We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finance operations primarily through our existing cash balances, cash collected from operations, bank borrowings and capital lease financing. We believe these sources are sufficient to fund our operations for the foreseeable future.</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March 31, 2017, we were in compliance with the terms of the Credit Agreement, and we will continuously monitor our compliance with the covenants contained in our Credit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significant changes in our contractual obligations and outstanding indebtedness as disclosed in the 2016 Transition Report.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March 31, 2017,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have been no significant changes to our critical accounting policies and estimates from the information provided in Item 7, “Management’s Discussion and Analysis of Financial Condition and Results of Operations,” included in the 2016 Transition Report.</w:t>
      </w:r>
    </w:p>
    <w:p>
      <w:pPr>
        <w:spacing w:after="0" w:line="1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7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There have been no significant changes to the Company’s quantitative and qualitative disclosures about market risk as discussed in Part II, Item 7A “Quantitative and Qualitative Disclosures About Market Risk,” included in the 2016 Transition Report.</w:t>
      </w:r>
    </w:p>
    <w:p>
      <w:pPr>
        <w:spacing w:after="0" w:line="1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March 31, 2017, the Company carried out an evaluation, under the supervision and with the participation of the Company’s management, including the Company’s Chief Executive Officer and the Company’s Chief Financial Officer, of the effectiveness of the design and operation of the Company’s disclosure controls and procedures, as such term is defined in Rule 13a-15(e) of the Exchange Act. Based on the evaluation, the Company’s Chief Executive Officer and Chief Financial Officer have concluded that the Company’s disclosure controls and procedures are effective to ensure that information required to be disclosed by the Company in the reports it files or submits under the Exchange Act is recorded, processed, summarized and reported within the time periods specified in SEC rules and forms.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has been no change in the Company’s internal control over financial reporting that occurred during the Company’s quarter ended March 31, 2017 that has materially affected, or is reasonably likely to materially affect, such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21" w:right="27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developments with regard to any matters disclosed under Part I, Item 3 “Legal Proceedings” in our 2016 Transition Report.</w:t>
      </w:r>
    </w:p>
    <w:p>
      <w:pPr>
        <w:spacing w:after="0" w:line="23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See Note 12 -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condensed consolidated financial statements included in this Quarterly Report for a description of our legal proceedings.</w:t>
      </w:r>
    </w:p>
    <w:p>
      <w:pPr>
        <w:spacing w:after="0" w:line="16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addition to the other information set forth in this Quarterly Report, you should carefully consider the risk factors discussed under the “Risk Factors” section included in our 2016 Transition Report. There have been no material changes to the risk factors previously disclosed in the 2016 Transition Report.</w:t>
      </w:r>
    </w:p>
    <w:p>
      <w:pPr>
        <w:spacing w:after="0" w:line="120"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 of Equity Securities and Use of Proceeds</w:t>
      </w:r>
    </w:p>
    <w:p>
      <w:pPr>
        <w:spacing w:after="0" w:line="270" w:lineRule="exact"/>
        <w:rPr>
          <w:sz w:val="20"/>
          <w:szCs w:val="20"/>
          <w:color w:val="auto"/>
        </w:rPr>
      </w:pPr>
    </w:p>
    <w:p>
      <w:pPr>
        <w:ind w:left="660" w:right="8800" w:hanging="652"/>
        <w:spacing w:after="0" w:line="501" w:lineRule="auto"/>
        <w:tabs>
          <w:tab w:leader="none" w:pos="267"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Sales of Unregistered Securities </w:t>
      </w:r>
      <w:r>
        <w:rPr>
          <w:rFonts w:ascii="Arial" w:cs="Arial" w:eastAsia="Arial" w:hAnsi="Arial"/>
          <w:sz w:val="18"/>
          <w:szCs w:val="18"/>
          <w:color w:val="auto"/>
        </w:rPr>
        <w:t>None.</w:t>
      </w:r>
    </w:p>
    <w:p>
      <w:pPr>
        <w:ind w:left="660" w:right="6980" w:hanging="652"/>
        <w:spacing w:after="0" w:line="498" w:lineRule="auto"/>
        <w:tabs>
          <w:tab w:leader="none" w:pos="267"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Use of Proceeds from Public Offering of Common Stock </w:t>
      </w:r>
      <w:r>
        <w:rPr>
          <w:rFonts w:ascii="Arial" w:cs="Arial" w:eastAsia="Arial" w:hAnsi="Arial"/>
          <w:sz w:val="18"/>
          <w:szCs w:val="18"/>
          <w:color w:val="auto"/>
        </w:rPr>
        <w:t>None.</w:t>
      </w:r>
    </w:p>
    <w:p>
      <w:pPr>
        <w:spacing w:after="0" w:line="5" w:lineRule="exact"/>
        <w:rPr>
          <w:rFonts w:ascii="Arial" w:cs="Arial" w:eastAsia="Arial" w:hAnsi="Arial"/>
          <w:sz w:val="18"/>
          <w:szCs w:val="18"/>
          <w:b w:val="1"/>
          <w:bCs w:val="1"/>
          <w:i w:val="1"/>
          <w:iCs w:val="1"/>
          <w:color w:val="auto"/>
        </w:rPr>
      </w:pPr>
    </w:p>
    <w:p>
      <w:pPr>
        <w:ind w:left="260" w:hanging="252"/>
        <w:spacing w:after="0"/>
        <w:tabs>
          <w:tab w:leader="none" w:pos="2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Repurchases of Our Equity Securities</w:t>
      </w:r>
    </w:p>
    <w:p>
      <w:pPr>
        <w:spacing w:after="0" w:line="22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The following table sets forth the shares of our common stock we acquired during the quarter pursuant to our publicly announced share repurchase plan and as a result of the surrender of shares by employees to satisfy tax withholding obligations in connection with the vesting of restricted stock units.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26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Total Number of Shares (or</w:t>
            </w:r>
          </w:p>
        </w:tc>
        <w:tc>
          <w:tcPr>
            <w:tcW w:w="220" w:type="dxa"/>
            <w:vAlign w:val="bottom"/>
          </w:tcPr>
          <w:p>
            <w:pPr>
              <w:spacing w:after="0"/>
              <w:rPr>
                <w:sz w:val="14"/>
                <w:szCs w:val="14"/>
                <w:color w:val="auto"/>
              </w:rPr>
            </w:pPr>
          </w:p>
        </w:tc>
        <w:tc>
          <w:tcPr>
            <w:tcW w:w="186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w w:val="98"/>
              </w:rPr>
              <w:t>Average Price Paid per</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1"/>
              </w:rPr>
              <w:t>Total Number of Shares Purchased</w:t>
            </w:r>
          </w:p>
        </w:tc>
        <w:tc>
          <w:tcPr>
            <w:tcW w:w="2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Approximate Dollar Value of Shares</w:t>
            </w:r>
          </w:p>
        </w:tc>
        <w:tc>
          <w:tcPr>
            <w:tcW w:w="0" w:type="dxa"/>
            <w:vAlign w:val="bottom"/>
          </w:tcPr>
          <w:p>
            <w:pPr>
              <w:spacing w:after="0"/>
              <w:rPr>
                <w:sz w:val="1"/>
                <w:szCs w:val="1"/>
                <w:color w:val="auto"/>
              </w:rPr>
            </w:pPr>
          </w:p>
        </w:tc>
      </w:tr>
      <w:tr>
        <w:trPr>
          <w:trHeight w:val="149"/>
        </w:trPr>
        <w:tc>
          <w:tcPr>
            <w:tcW w:w="1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Month Ending</w:t>
            </w:r>
          </w:p>
        </w:tc>
        <w:tc>
          <w:tcPr>
            <w:tcW w:w="26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as Part of Publicly Announced</w:t>
            </w:r>
          </w:p>
        </w:tc>
        <w:tc>
          <w:tcPr>
            <w:tcW w:w="200" w:type="dxa"/>
            <w:vAlign w:val="bottom"/>
          </w:tcPr>
          <w:p>
            <w:pPr>
              <w:spacing w:after="0"/>
              <w:rPr>
                <w:sz w:val="12"/>
                <w:szCs w:val="12"/>
                <w:color w:val="auto"/>
              </w:rPr>
            </w:pPr>
          </w:p>
        </w:tc>
        <w:tc>
          <w:tcPr>
            <w:tcW w:w="22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3"/>
              </w:rPr>
              <w:t>that May Yet Be Purchased Under</w:t>
            </w:r>
          </w:p>
        </w:tc>
        <w:tc>
          <w:tcPr>
            <w:tcW w:w="0" w:type="dxa"/>
            <w:vAlign w:val="bottom"/>
          </w:tcPr>
          <w:p>
            <w:pPr>
              <w:spacing w:after="0"/>
              <w:rPr>
                <w:sz w:val="1"/>
                <w:szCs w:val="1"/>
                <w:color w:val="auto"/>
              </w:rPr>
            </w:pPr>
          </w:p>
        </w:tc>
      </w:tr>
      <w:tr>
        <w:trPr>
          <w:trHeight w:val="192"/>
        </w:trPr>
        <w:tc>
          <w:tcPr>
            <w:tcW w:w="1820" w:type="dxa"/>
            <w:vAlign w:val="bottom"/>
            <w:vMerge w:val="continue"/>
          </w:tcPr>
          <w:p>
            <w:pPr>
              <w:spacing w:after="0"/>
              <w:rPr>
                <w:sz w:val="16"/>
                <w:szCs w:val="16"/>
                <w:color w:val="auto"/>
              </w:rPr>
            </w:pPr>
          </w:p>
        </w:tc>
        <w:tc>
          <w:tcPr>
            <w:tcW w:w="2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Units) Purchased</w:t>
            </w:r>
          </w:p>
        </w:tc>
        <w:tc>
          <w:tcPr>
            <w:tcW w:w="220" w:type="dxa"/>
            <w:vAlign w:val="bottom"/>
          </w:tcPr>
          <w:p>
            <w:pPr>
              <w:spacing w:after="0"/>
              <w:rPr>
                <w:sz w:val="16"/>
                <w:szCs w:val="16"/>
                <w:color w:val="auto"/>
              </w:rPr>
            </w:pPr>
          </w:p>
        </w:tc>
        <w:tc>
          <w:tcPr>
            <w:tcW w:w="1860" w:type="dxa"/>
            <w:vAlign w:val="bottom"/>
          </w:tcPr>
          <w:p>
            <w:pPr>
              <w:jc w:val="right"/>
              <w:ind w:right="497"/>
              <w:spacing w:after="0"/>
              <w:rPr>
                <w:sz w:val="20"/>
                <w:szCs w:val="20"/>
                <w:color w:val="auto"/>
              </w:rPr>
            </w:pPr>
            <w:r>
              <w:rPr>
                <w:rFonts w:ascii="Arial" w:cs="Arial" w:eastAsia="Arial" w:hAnsi="Arial"/>
                <w:sz w:val="14"/>
                <w:szCs w:val="14"/>
                <w:b w:val="1"/>
                <w:bCs w:val="1"/>
                <w:color w:val="auto"/>
              </w:rPr>
              <w:t>Share (or Unit)</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Plans or Programs </w:t>
            </w:r>
            <w:r>
              <w:rPr>
                <w:rFonts w:ascii="Arial" w:cs="Arial" w:eastAsia="Arial" w:hAnsi="Arial"/>
                <w:sz w:val="8"/>
                <w:szCs w:val="8"/>
                <w:b w:val="1"/>
                <w:bCs w:val="1"/>
                <w:color w:val="auto"/>
                <w:w w:val="94"/>
              </w:rPr>
              <w:t>(1)</w:t>
            </w:r>
          </w:p>
        </w:tc>
        <w:tc>
          <w:tcPr>
            <w:tcW w:w="200" w:type="dxa"/>
            <w:vAlign w:val="bottom"/>
          </w:tcPr>
          <w:p>
            <w:pPr>
              <w:spacing w:after="0"/>
              <w:rPr>
                <w:sz w:val="16"/>
                <w:szCs w:val="16"/>
                <w:color w:val="auto"/>
              </w:rPr>
            </w:pPr>
          </w:p>
        </w:tc>
        <w:tc>
          <w:tcPr>
            <w:tcW w:w="224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 xml:space="preserve">the Plans or Programs </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250"/>
        </w:trPr>
        <w:tc>
          <w:tcPr>
            <w:tcW w:w="18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31, 2017</w:t>
            </w:r>
          </w:p>
        </w:tc>
        <w:tc>
          <w:tcPr>
            <w:tcW w:w="25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83,897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24.61</w:t>
            </w:r>
          </w:p>
        </w:tc>
        <w:tc>
          <w:tcPr>
            <w:tcW w:w="238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81,103</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39,004,574</w:t>
            </w:r>
          </w:p>
        </w:tc>
        <w:tc>
          <w:tcPr>
            <w:tcW w:w="0" w:type="dxa"/>
            <w:vAlign w:val="bottom"/>
          </w:tcPr>
          <w:p>
            <w:pPr>
              <w:spacing w:after="0"/>
              <w:rPr>
                <w:sz w:val="1"/>
                <w:szCs w:val="1"/>
                <w:color w:val="auto"/>
              </w:rPr>
            </w:pPr>
          </w:p>
        </w:tc>
      </w:tr>
      <w:tr>
        <w:trPr>
          <w:trHeight w:val="243"/>
        </w:trPr>
        <w:tc>
          <w:tcPr>
            <w:tcW w:w="1820" w:type="dxa"/>
            <w:vAlign w:val="bottom"/>
          </w:tcPr>
          <w:p>
            <w:pPr>
              <w:ind w:left="40"/>
              <w:spacing w:after="0"/>
              <w:rPr>
                <w:sz w:val="20"/>
                <w:szCs w:val="20"/>
                <w:color w:val="auto"/>
              </w:rPr>
            </w:pPr>
            <w:r>
              <w:rPr>
                <w:rFonts w:ascii="Arial" w:cs="Arial" w:eastAsia="Arial" w:hAnsi="Arial"/>
                <w:sz w:val="18"/>
                <w:szCs w:val="18"/>
                <w:color w:val="auto"/>
              </w:rPr>
              <w:t>February 28, 2017</w:t>
            </w:r>
          </w:p>
        </w:tc>
        <w:tc>
          <w:tcPr>
            <w:tcW w:w="2520" w:type="dxa"/>
            <w:vAlign w:val="bottom"/>
          </w:tcPr>
          <w:p>
            <w:pPr>
              <w:jc w:val="right"/>
              <w:ind w:right="37"/>
              <w:spacing w:after="0"/>
              <w:rPr>
                <w:sz w:val="20"/>
                <w:szCs w:val="20"/>
                <w:color w:val="auto"/>
              </w:rPr>
            </w:pPr>
            <w:r>
              <w:rPr>
                <w:rFonts w:ascii="Arial" w:cs="Arial" w:eastAsia="Arial" w:hAnsi="Arial"/>
                <w:sz w:val="18"/>
                <w:szCs w:val="18"/>
                <w:color w:val="auto"/>
              </w:rPr>
              <w:t>85,985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57"/>
              <w:spacing w:after="0"/>
              <w:rPr>
                <w:sz w:val="20"/>
                <w:szCs w:val="20"/>
                <w:color w:val="auto"/>
              </w:rPr>
            </w:pPr>
            <w:r>
              <w:rPr>
                <w:rFonts w:ascii="Arial" w:cs="Arial" w:eastAsia="Arial" w:hAnsi="Arial"/>
                <w:sz w:val="18"/>
                <w:szCs w:val="18"/>
                <w:color w:val="auto"/>
              </w:rPr>
              <w:t>23.26</w:t>
            </w:r>
          </w:p>
        </w:tc>
        <w:tc>
          <w:tcPr>
            <w:tcW w:w="2380" w:type="dxa"/>
            <w:vAlign w:val="bottom"/>
          </w:tcPr>
          <w:p>
            <w:pPr>
              <w:jc w:val="right"/>
              <w:ind w:right="59"/>
              <w:spacing w:after="0"/>
              <w:rPr>
                <w:sz w:val="20"/>
                <w:szCs w:val="20"/>
                <w:color w:val="auto"/>
              </w:rPr>
            </w:pPr>
            <w:r>
              <w:rPr>
                <w:rFonts w:ascii="Arial" w:cs="Arial" w:eastAsia="Arial" w:hAnsi="Arial"/>
                <w:sz w:val="18"/>
                <w:szCs w:val="18"/>
                <w:color w:val="auto"/>
              </w:rPr>
              <w:t>85,985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240" w:type="dxa"/>
            <w:vAlign w:val="bottom"/>
          </w:tcPr>
          <w:p>
            <w:pPr>
              <w:jc w:val="right"/>
              <w:ind w:right="17"/>
              <w:spacing w:after="0"/>
              <w:rPr>
                <w:sz w:val="20"/>
                <w:szCs w:val="20"/>
                <w:color w:val="auto"/>
              </w:rPr>
            </w:pPr>
            <w:r>
              <w:rPr>
                <w:rFonts w:ascii="Arial" w:cs="Arial" w:eastAsia="Arial" w:hAnsi="Arial"/>
                <w:sz w:val="18"/>
                <w:szCs w:val="18"/>
                <w:color w:val="auto"/>
              </w:rPr>
              <w:t>37,004,563</w:t>
            </w:r>
          </w:p>
        </w:tc>
        <w:tc>
          <w:tcPr>
            <w:tcW w:w="0" w:type="dxa"/>
            <w:vAlign w:val="bottom"/>
          </w:tcPr>
          <w:p>
            <w:pPr>
              <w:spacing w:after="0"/>
              <w:rPr>
                <w:sz w:val="1"/>
                <w:szCs w:val="1"/>
                <w:color w:val="auto"/>
              </w:rPr>
            </w:pPr>
          </w:p>
        </w:tc>
      </w:tr>
      <w:tr>
        <w:trPr>
          <w:trHeight w:val="27"/>
        </w:trPr>
        <w:tc>
          <w:tcPr>
            <w:tcW w:w="18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31, 2017</w:t>
            </w:r>
          </w:p>
        </w:tc>
        <w:tc>
          <w:tcPr>
            <w:tcW w:w="25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89,261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22.43</w:t>
            </w:r>
          </w:p>
        </w:tc>
        <w:tc>
          <w:tcPr>
            <w:tcW w:w="23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89,166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35,004,570</w:t>
            </w:r>
          </w:p>
        </w:tc>
        <w:tc>
          <w:tcPr>
            <w:tcW w:w="0" w:type="dxa"/>
            <w:vAlign w:val="bottom"/>
          </w:tcPr>
          <w:p>
            <w:pPr>
              <w:spacing w:after="0"/>
              <w:rPr>
                <w:sz w:val="1"/>
                <w:szCs w:val="1"/>
                <w:color w:val="auto"/>
              </w:rPr>
            </w:pPr>
          </w:p>
        </w:tc>
      </w:tr>
      <w:tr>
        <w:trPr>
          <w:trHeight w:val="27"/>
        </w:trPr>
        <w:tc>
          <w:tcPr>
            <w:tcW w:w="182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(1) - On October 7, 2015, the Company announced that its Board of Directors approved a share repurchase plan, which authorizes the expenditure of up to</w:t>
      </w:r>
    </w:p>
    <w:p>
      <w:pPr>
        <w:spacing w:after="0" w:line="4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$50.0 million for the purchase of the Company's common stock. On August 17, 2016, the Company entered into an agreement with its founder, Chairman and Chief Executive Officer, Dr. Sotirios Vahaviolos, which provides for the Company to repurchase up to 1 million shares of its common stock from Dr. Vahaviolos. The plan with Dr. Vahaviolos is included in the $50.0 million of purchases authorized by our Board of Directors. The amounts of 81,103, 85,985 and 89,166 in the shares purchased column represent the purchases from Dr. Vahaviolos during the first quarter of 2017.</w:t>
      </w:r>
    </w:p>
    <w:p>
      <w:pPr>
        <w:spacing w:after="0" w:line="173"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116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0260" w:type="dxa"/>
            <w:vAlign w:val="bottom"/>
          </w:tcPr>
          <w:p>
            <w:pPr>
              <w:spacing w:after="0"/>
              <w:rPr>
                <w:sz w:val="14"/>
                <w:szCs w:val="14"/>
                <w:color w:val="auto"/>
              </w:rPr>
            </w:pPr>
          </w:p>
        </w:tc>
      </w:tr>
      <w:tr>
        <w:trPr>
          <w:trHeight w:val="466"/>
        </w:trPr>
        <w:tc>
          <w:tcPr>
            <w:tcW w:w="102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ITEM 6.</w:t>
            </w:r>
          </w:p>
        </w:tc>
        <w:tc>
          <w:tcPr>
            <w:tcW w:w="140" w:type="dxa"/>
            <w:vAlign w:val="bottom"/>
            <w:gridSpan w:val="2"/>
          </w:tcPr>
          <w:p>
            <w:pPr>
              <w:spacing w:after="0"/>
              <w:rPr>
                <w:sz w:val="24"/>
                <w:szCs w:val="24"/>
                <w:color w:val="auto"/>
              </w:rPr>
            </w:pPr>
          </w:p>
        </w:tc>
        <w:tc>
          <w:tcPr>
            <w:tcW w:w="10260" w:type="dxa"/>
            <w:vAlign w:val="bottom"/>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588"/>
        </w:trPr>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Exhibit No.</w:t>
            </w:r>
          </w:p>
        </w:tc>
        <w:tc>
          <w:tcPr>
            <w:tcW w:w="10260" w:type="dxa"/>
            <w:vAlign w:val="bottom"/>
          </w:tcPr>
          <w:p>
            <w:pPr>
              <w:ind w:left="4780"/>
              <w:spacing w:after="0"/>
              <w:rPr>
                <w:sz w:val="20"/>
                <w:szCs w:val="20"/>
                <w:color w:val="auto"/>
              </w:rPr>
            </w:pPr>
            <w:r>
              <w:rPr>
                <w:rFonts w:ascii="Arial" w:cs="Arial" w:eastAsia="Arial" w:hAnsi="Arial"/>
                <w:sz w:val="14"/>
                <w:szCs w:val="14"/>
                <w:b w:val="1"/>
                <w:bCs w:val="1"/>
                <w:color w:val="auto"/>
              </w:rPr>
              <w:t>Description</w:t>
            </w:r>
          </w:p>
        </w:tc>
      </w:tr>
      <w:tr>
        <w:trPr>
          <w:trHeight w:val="567"/>
        </w:trPr>
        <w:tc>
          <w:tcPr>
            <w:tcW w:w="1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31.1</w:t>
            </w:r>
          </w:p>
        </w:tc>
        <w:tc>
          <w:tcPr>
            <w:tcW w:w="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Certification of Chief Executive Officer pursuant to Rule 13a-14(a) under the Securities Exchange Act of 1934.</w:t>
            </w:r>
          </w:p>
        </w:tc>
      </w:tr>
      <w:tr>
        <w:trPr>
          <w:trHeight w:val="540"/>
        </w:trPr>
        <w:tc>
          <w:tcPr>
            <w:tcW w:w="1020" w:type="dxa"/>
            <w:vAlign w:val="bottom"/>
          </w:tcPr>
          <w:p>
            <w:pPr>
              <w:ind w:left="40"/>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pursuant to Rule 13a-14(a) under the Securities Exchange Act of 1934.</w:t>
            </w:r>
          </w:p>
        </w:tc>
      </w:tr>
      <w:tr>
        <w:trPr>
          <w:trHeight w:val="594"/>
        </w:trPr>
        <w:tc>
          <w:tcPr>
            <w:tcW w:w="1020" w:type="dxa"/>
            <w:vAlign w:val="bottom"/>
          </w:tcPr>
          <w:p>
            <w:pPr>
              <w:ind w:left="40"/>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540"/>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101.INS</w:t>
            </w:r>
          </w:p>
        </w:tc>
        <w:tc>
          <w:tcPr>
            <w:tcW w:w="1026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540"/>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101.SCH</w:t>
            </w:r>
          </w:p>
        </w:tc>
        <w:tc>
          <w:tcPr>
            <w:tcW w:w="10260" w:type="dxa"/>
            <w:vAlign w:val="bottom"/>
          </w:tcPr>
          <w:p>
            <w:pPr>
              <w:ind w:left="20"/>
              <w:spacing w:after="0"/>
              <w:rPr>
                <w:sz w:val="20"/>
                <w:szCs w:val="20"/>
                <w:color w:val="auto"/>
              </w:rPr>
            </w:pPr>
            <w:r>
              <w:rPr>
                <w:rFonts w:ascii="Arial" w:cs="Arial" w:eastAsia="Arial" w:hAnsi="Arial"/>
                <w:sz w:val="18"/>
                <w:szCs w:val="18"/>
                <w:color w:val="auto"/>
              </w:rPr>
              <w:t>XBRL Schema Document</w:t>
            </w:r>
          </w:p>
        </w:tc>
      </w:tr>
      <w:tr>
        <w:trPr>
          <w:trHeight w:val="540"/>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101.CAL</w:t>
            </w:r>
          </w:p>
        </w:tc>
        <w:tc>
          <w:tcPr>
            <w:tcW w:w="10260" w:type="dxa"/>
            <w:vAlign w:val="bottom"/>
          </w:tcPr>
          <w:p>
            <w:pPr>
              <w:ind w:left="20"/>
              <w:spacing w:after="0"/>
              <w:rPr>
                <w:sz w:val="20"/>
                <w:szCs w:val="20"/>
                <w:color w:val="auto"/>
              </w:rPr>
            </w:pPr>
            <w:r>
              <w:rPr>
                <w:rFonts w:ascii="Arial" w:cs="Arial" w:eastAsia="Arial" w:hAnsi="Arial"/>
                <w:sz w:val="18"/>
                <w:szCs w:val="18"/>
                <w:color w:val="auto"/>
              </w:rPr>
              <w:t>XBRL Calculation Linkbase Document</w:t>
            </w:r>
          </w:p>
        </w:tc>
      </w:tr>
      <w:tr>
        <w:trPr>
          <w:trHeight w:val="540"/>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101.LAB</w:t>
            </w:r>
          </w:p>
        </w:tc>
        <w:tc>
          <w:tcPr>
            <w:tcW w:w="10260" w:type="dxa"/>
            <w:vAlign w:val="bottom"/>
          </w:tcPr>
          <w:p>
            <w:pPr>
              <w:ind w:left="20"/>
              <w:spacing w:after="0"/>
              <w:rPr>
                <w:sz w:val="20"/>
                <w:szCs w:val="20"/>
                <w:color w:val="auto"/>
              </w:rPr>
            </w:pPr>
            <w:r>
              <w:rPr>
                <w:rFonts w:ascii="Arial" w:cs="Arial" w:eastAsia="Arial" w:hAnsi="Arial"/>
                <w:sz w:val="18"/>
                <w:szCs w:val="18"/>
                <w:color w:val="auto"/>
              </w:rPr>
              <w:t>XBRL Labels Linkbase Document</w:t>
            </w:r>
          </w:p>
        </w:tc>
      </w:tr>
      <w:tr>
        <w:trPr>
          <w:trHeight w:val="540"/>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101.PRE</w:t>
            </w:r>
          </w:p>
        </w:tc>
        <w:tc>
          <w:tcPr>
            <w:tcW w:w="10260" w:type="dxa"/>
            <w:vAlign w:val="bottom"/>
          </w:tcPr>
          <w:p>
            <w:pPr>
              <w:ind w:left="20"/>
              <w:spacing w:after="0"/>
              <w:rPr>
                <w:sz w:val="20"/>
                <w:szCs w:val="20"/>
                <w:color w:val="auto"/>
              </w:rPr>
            </w:pPr>
            <w:r>
              <w:rPr>
                <w:rFonts w:ascii="Arial" w:cs="Arial" w:eastAsia="Arial" w:hAnsi="Arial"/>
                <w:sz w:val="18"/>
                <w:szCs w:val="18"/>
                <w:color w:val="auto"/>
              </w:rPr>
              <w:t>XBRL Presentation Linkbase Document</w:t>
            </w:r>
          </w:p>
        </w:tc>
      </w:tr>
      <w:tr>
        <w:trPr>
          <w:trHeight w:val="540"/>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101.DEF</w:t>
            </w:r>
          </w:p>
        </w:tc>
        <w:tc>
          <w:tcPr>
            <w:tcW w:w="10260" w:type="dxa"/>
            <w:vAlign w:val="bottom"/>
          </w:tcPr>
          <w:p>
            <w:pPr>
              <w:ind w:left="20"/>
              <w:spacing w:after="0"/>
              <w:rPr>
                <w:sz w:val="20"/>
                <w:szCs w:val="20"/>
                <w:color w:val="auto"/>
              </w:rPr>
            </w:pPr>
            <w:r>
              <w:rPr>
                <w:rFonts w:ascii="Arial" w:cs="Arial" w:eastAsia="Arial" w:hAnsi="Arial"/>
                <w:sz w:val="18"/>
                <w:szCs w:val="18"/>
                <w:color w:val="auto"/>
              </w:rPr>
              <w:t>XBRL Definition Linkbase Document</w:t>
            </w:r>
          </w:p>
        </w:tc>
      </w:tr>
      <w:tr>
        <w:trPr>
          <w:trHeight w:val="918"/>
        </w:trPr>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ind w:left="4460"/>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1420"/>
          </w:cols>
          <w:pgMar w:left="240" w:top="114"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MISTRAS GROUP, INC.</w:t>
      </w:r>
    </w:p>
    <w:p>
      <w:pPr>
        <w:spacing w:after="0" w:line="337" w:lineRule="exact"/>
        <w:rPr>
          <w:sz w:val="20"/>
          <w:szCs w:val="20"/>
          <w:color w:val="auto"/>
        </w:rPr>
      </w:pPr>
    </w:p>
    <w:p>
      <w:pPr>
        <w:ind w:left="4960"/>
        <w:spacing w:after="0"/>
        <w:tabs>
          <w:tab w:leader="none" w:pos="5400" w:val="left"/>
        </w:tabs>
        <w:rPr>
          <w:sz w:val="20"/>
          <w:szCs w:val="20"/>
          <w:color w:val="auto"/>
        </w:rPr>
      </w:pPr>
      <w:r>
        <w:rPr>
          <w:rFonts w:ascii="Arial" w:cs="Arial" w:eastAsia="Arial" w:hAnsi="Arial"/>
          <w:sz w:val="18"/>
          <w:szCs w:val="18"/>
          <w:color w:val="auto"/>
        </w:rPr>
        <w:t>By:</w:t>
        <w:tab/>
        <w:t>/s/ Jonathan H. Wolk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Jonathan H. Wolk</w:t>
      </w:r>
    </w:p>
    <w:p>
      <w:pPr>
        <w:spacing w:after="0" w:line="63"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Senior Executive Vice President, Chief Financial Officer and Treasurer</w:t>
      </w:r>
    </w:p>
    <w:p>
      <w:pPr>
        <w:spacing w:after="0" w:line="75"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(Principal Financial and Accounting Officer and duly authorized officer)</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May 9, 2017</w:t>
      </w:r>
    </w:p>
    <w:p>
      <w:pPr>
        <w:spacing w:after="0" w:line="200" w:lineRule="exact"/>
        <w:rPr>
          <w:sz w:val="20"/>
          <w:szCs w:val="20"/>
          <w:color w:val="auto"/>
        </w:rPr>
      </w:pPr>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0"/>
          </w:cols>
          <w:pgMar w:left="240" w:top="121" w:right="71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Sotirios J. Vahaviolos, certify that:</w:t>
      </w:r>
    </w:p>
    <w:p>
      <w:pPr>
        <w:spacing w:after="0" w:line="171"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May 9, 2017</w:t>
      </w:r>
    </w:p>
    <w:p>
      <w:pPr>
        <w:spacing w:after="0" w:line="25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Sotirios J. Vahaviolos</w:t>
      </w:r>
    </w:p>
    <w:p>
      <w:pPr>
        <w:spacing w:after="0" w:line="14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Chairman and Chief Executive Officer</w:t>
      </w:r>
    </w:p>
    <w:p>
      <w:pPr>
        <w:spacing w:after="0" w:line="22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66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Jonathan H. Wolk, certify that:</w:t>
      </w:r>
    </w:p>
    <w:p>
      <w:pPr>
        <w:spacing w:after="0" w:line="171"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May 9, 2017</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Jonathan H. Wolk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Jonathan H. Wolk</w:t>
      </w:r>
    </w:p>
    <w:p>
      <w:pPr>
        <w:spacing w:after="0" w:line="14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Senior Executive Vice President, Chief Financial Officer and Treasurer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66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Each of the undersigned hereby certifies, for the purposes of section 1350 of chapter 63 of title 18 of the United States Code, as adopted pursuant to Section 906 of the Sarbanes-Oxley Act of 2002, in his capacity as an officer of Mistras Group, Inc. (the “Company”), that, to his knowledge, the Quarterly Report on Form 10-Q of the Company for the quarter ended March 31, 2017 (the “Report”), fully complies with the requirements of Section 13(a) of the Securities Exchange Act of 1934 and that the information contained in the Report fairly presents, in all material respects, the financial condition and results of operations of the Company. This written statement is being furnished to the Securities and Exchange Commission as an exhibit to the Report.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Dated: May 9, 2017</w:t>
      </w:r>
    </w:p>
    <w:p>
      <w:pPr>
        <w:spacing w:after="0" w:line="38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Sotirios J. Vahaviolos</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6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Jonathan H. Wolk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Jonathan H. Wolk</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Senior Executive Vice President, Chief Financial Officer and Treasurer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2"/>
    </w:lvl>
  </w:abstractNum>
  <w:abstractNum w:abstractNumId="7">
    <w:nsid w:val="4E6AFB66"/>
    <w:multiLevelType w:val="hybridMultilevel"/>
    <w:lvl w:ilvl="0">
      <w:lvlJc w:val="left"/>
      <w:lvlText w:val="%1."/>
      <w:numFmt w:val="decimal"/>
      <w:start w:val="3"/>
    </w:lvl>
  </w:abstractNum>
  <w:abstractNum w:abstractNumId="8">
    <w:nsid w:val="25E45D32"/>
    <w:multiLevelType w:val="hybridMultilevel"/>
    <w:lvl w:ilvl="0">
      <w:lvlJc w:val="left"/>
      <w:lvlText w:val="(%1)"/>
      <w:numFmt w:val="decimal"/>
      <w:start w:val="2"/>
    </w:lvl>
  </w:abstractNum>
  <w:abstractNum w:abstractNumId="9">
    <w:nsid w:val="519B500D"/>
    <w:multiLevelType w:val="hybridMultilevel"/>
    <w:lvl w:ilvl="0">
      <w:lvlJc w:val="left"/>
      <w:lvlText w:val="%1."/>
      <w:numFmt w:val="decimal"/>
      <w:start w:val="4"/>
    </w:lvl>
  </w:abstractNum>
  <w:abstractNum w:abstractNumId="10">
    <w:nsid w:val="431BD7B7"/>
    <w:multiLevelType w:val="hybridMultilevel"/>
    <w:lvl w:ilvl="0">
      <w:lvlJc w:val="left"/>
      <w:lvlText w:val="%1."/>
      <w:numFmt w:val="decimal"/>
      <w:start w:val="7"/>
    </w:lvl>
  </w:abstractNum>
  <w:abstractNum w:abstractNumId="11">
    <w:nsid w:val="3F2DBA31"/>
    <w:multiLevelType w:val="hybridMultilevel"/>
    <w:lvl w:ilvl="0">
      <w:lvlJc w:val="left"/>
      <w:lvlText w:val="%1."/>
      <w:numFmt w:val="decimal"/>
      <w:start w:val="8"/>
    </w:lvl>
  </w:abstractNum>
  <w:abstractNum w:abstractNumId="12">
    <w:nsid w:val="7C83E458"/>
    <w:multiLevelType w:val="hybridMultilevel"/>
    <w:lvl w:ilvl="0">
      <w:lvlJc w:val="left"/>
      <w:lvlText w:val="%1."/>
      <w:numFmt w:val="decimal"/>
      <w:start w:val="9"/>
    </w:lvl>
  </w:abstractNum>
  <w:abstractNum w:abstractNumId="13">
    <w:nsid w:val="257130A3"/>
    <w:multiLevelType w:val="hybridMultilevel"/>
    <w:lvl w:ilvl="0">
      <w:lvlJc w:val="left"/>
      <w:lvlText w:val="%1."/>
      <w:numFmt w:val="decimal"/>
      <w:start w:val="10"/>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1"/>
    </w:lvl>
  </w:abstractNum>
  <w:abstractNum w:abstractNumId="16">
    <w:nsid w:val="628C895D"/>
    <w:multiLevelType w:val="hybridMultilevel"/>
    <w:lvl w:ilvl="0">
      <w:lvlJc w:val="left"/>
      <w:lvlText w:val="%1."/>
      <w:numFmt w:val="decimal"/>
      <w:start w:val="12"/>
    </w:lvl>
  </w:abstractNum>
  <w:abstractNum w:abstractNumId="17">
    <w:nsid w:val="333AB105"/>
    <w:multiLevelType w:val="hybridMultilevel"/>
    <w:lvl w:ilvl="0">
      <w:lvlJc w:val="left"/>
      <w:lvlText w:val="%1."/>
      <w:numFmt w:val="decimal"/>
      <w:start w:val="13"/>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2019-12-29T06:38:41Z</dcterms:created>
  <dcterms:modified xsi:type="dcterms:W3CDTF">2019-12-29T06:38:41Z</dcterms:modified>
</cp:coreProperties>
</file>