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21_defa14a.htm"/>
      <w:bookmarkStart w:id="1" w:name="ksef20082421_defa14a"/>
      <w:bookmarkStart w:id="2" w:name="ef20082421_defa14a.htm"/>
      <w:bookmarkStart w:id="3" w:name="ksef20082421_defa14a"/>
      <w:bookmarkEnd w:id="2"/>
      <w:bookmarkEnd w:id="3"/>
    </w:p>
    <w:p>
      <w:pPr>
        <w:pStyle w:val="TextBody"/>
        <w:bidi w:val="0"/>
        <w:spacing w:before="0" w:after="0"/>
        <w:ind w:left="0" w:right="0" w:hanging="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ind w:left="0" w:right="0" w:hanging="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ind w:left="0" w:right="0" w:hanging="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ind w:left="0" w:right="0" w:hanging="0"/>
        <w:jc w:val="center"/>
        <w:rPr>
          <w:b/>
          <w:sz w:val="20"/>
        </w:rPr>
      </w:pPr>
      <w:r>
        <w:rPr>
          <w:b/>
          <w:sz w:val="20"/>
        </w:rPr>
      </w:r>
    </w:p>
    <w:p>
      <w:pPr>
        <w:pStyle w:val="HorizontalLine"/>
        <w:pBdr>
          <w:bottom w:val="single" w:sz="12" w:space="0" w:color="808080"/>
        </w:pBdr>
        <w:bidi w:val="0"/>
        <w:spacing w:before="0" w:after="0"/>
        <w:jc w:val="center"/>
        <w:rPr/>
      </w:pPr>
      <w:r>
        <w:rPr/>
      </w:r>
    </w:p>
    <w:p>
      <w:pPr>
        <w:pStyle w:val="TextBody"/>
        <w:bidi w:val="0"/>
        <w:spacing w:before="0" w:after="0"/>
        <w:ind w:left="0" w:right="0" w:hanging="0"/>
        <w:jc w:val="center"/>
        <w:rPr>
          <w:b/>
          <w:sz w:val="20"/>
        </w:rPr>
      </w:pPr>
      <w:r>
        <w:rPr>
          <w:b/>
          <w:sz w:val="20"/>
        </w:rPr>
      </w:r>
    </w:p>
    <w:p>
      <w:pPr>
        <w:pStyle w:val="TextBody"/>
        <w:bidi w:val="0"/>
        <w:spacing w:before="0" w:after="0"/>
        <w:ind w:left="0" w:right="0" w:hanging="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ind w:left="0" w:right="0" w:hanging="0"/>
        <w:jc w:val="center"/>
        <w:rPr>
          <w:b/>
          <w:sz w:val="20"/>
        </w:rPr>
      </w:pPr>
      <w:r>
        <w:rPr>
          <w:b/>
          <w:sz w:val="20"/>
        </w:rPr>
      </w:r>
    </w:p>
    <w:p>
      <w:pPr>
        <w:pStyle w:val="HorizontalLine"/>
        <w:pBdr>
          <w:bottom w:val="single" w:sz="12" w:space="0" w:color="808080"/>
        </w:pBdr>
        <w:bidi w:val="0"/>
        <w:spacing w:before="0" w:after="0"/>
        <w:jc w:val="center"/>
        <w:rPr/>
      </w:pPr>
      <w:r>
        <w:rPr/>
      </w:r>
    </w:p>
    <w:p>
      <w:pPr>
        <w:pStyle w:val="TextBody"/>
        <w:bidi w:val="0"/>
        <w:spacing w:before="0" w:after="0"/>
        <w:ind w:left="0" w:right="0" w:hanging="0"/>
        <w:jc w:val="center"/>
        <w:rPr>
          <w:b/>
          <w:sz w:val="20"/>
        </w:rPr>
      </w:pPr>
      <w:r>
        <w:rPr>
          <w:b/>
          <w:sz w:val="20"/>
        </w:rPr>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ind w:left="0" w:right="0" w:hanging="0"/>
        <w:jc w:val="left"/>
        <w:rPr>
          <w:sz w:val="20"/>
        </w:rPr>
      </w:pPr>
      <w:r>
        <w:rPr>
          <w:sz w:val="20"/>
        </w:rPr>
      </w:r>
    </w:p>
    <w:p>
      <w:pPr>
        <w:pStyle w:val="Normal"/>
        <w:bidi w:val="0"/>
        <w:spacing w:before="0" w:after="0"/>
        <w:jc w:val="left"/>
        <w:rPr>
          <w:sz w:val="4"/>
          <w:szCs w:val="4"/>
        </w:rPr>
      </w:pPr>
      <w:r>
        <w:rPr>
          <w:sz w:val="4"/>
          <w:szCs w:val="4"/>
        </w:rPr>
      </w:r>
      <w:bookmarkStart w:id="4" w:name="z2e11e49a17da448f929eac1b80e0a5a2"/>
      <w:bookmarkStart w:id="5" w:name="z2e11e49a17da448f929eac1b80e0a5a2"/>
      <w:bookmarkEnd w:id="5"/>
    </w:p>
    <w:tbl>
      <w:tblPr>
        <w:tblW w:w="3580" w:type="dxa"/>
        <w:jc w:val="left"/>
        <w:tblInd w:w="0" w:type="dxa"/>
        <w:tblLayout w:type="fixed"/>
        <w:tblCellMar>
          <w:top w:w="0" w:type="dxa"/>
          <w:left w:w="0" w:type="dxa"/>
          <w:bottom w:w="0" w:type="dxa"/>
          <w:right w:w="0" w:type="dxa"/>
        </w:tblCellMar>
      </w:tblPr>
      <w:tblGrid>
        <w:gridCol w:w="3350"/>
        <w:gridCol w:w="230"/>
      </w:tblGrid>
      <w:tr>
        <w:trPr/>
        <w:tc>
          <w:tcPr>
            <w:tcW w:w="3350" w:type="dxa"/>
            <w:tcBorders/>
            <w:vAlign w:val="center"/>
          </w:tcPr>
          <w:p>
            <w:pPr>
              <w:pStyle w:val="TableContents"/>
              <w:bidi w:val="0"/>
              <w:spacing w:before="20" w:after="283"/>
              <w:ind w:left="200" w:right="0" w:hanging="200"/>
              <w:jc w:val="left"/>
              <w:rPr>
                <w:sz w:val="20"/>
              </w:rPr>
            </w:pPr>
            <w:r>
              <w:rPr>
                <w:sz w:val="20"/>
              </w:rPr>
              <w:t>Filed by the Registrant</w:t>
            </w:r>
          </w:p>
        </w:tc>
        <w:tc>
          <w:tcPr>
            <w:tcW w:w="230" w:type="dxa"/>
            <w:tcBorders/>
            <w:vAlign w:val="center"/>
          </w:tcPr>
          <w:p>
            <w:pPr>
              <w:pStyle w:val="TableContents"/>
              <w:bidi w:val="0"/>
              <w:spacing w:before="0" w:after="0"/>
              <w:jc w:val="left"/>
              <w:rPr/>
            </w:pPr>
            <w:r>
              <w:rPr/>
              <w:t>☒</w:t>
            </w:r>
          </w:p>
        </w:tc>
      </w:tr>
      <w:tr>
        <w:trPr/>
        <w:tc>
          <w:tcPr>
            <w:tcW w:w="3350" w:type="dxa"/>
            <w:tcBorders/>
            <w:vAlign w:val="center"/>
          </w:tcPr>
          <w:p>
            <w:pPr>
              <w:pStyle w:val="TableContents"/>
              <w:bidi w:val="0"/>
              <w:spacing w:before="20" w:after="283"/>
              <w:ind w:left="200" w:right="0" w:hanging="200"/>
              <w:jc w:val="left"/>
              <w:rPr>
                <w:sz w:val="20"/>
              </w:rPr>
            </w:pPr>
            <w:r>
              <w:rPr>
                <w:sz w:val="20"/>
              </w:rPr>
              <w:t>Filed by a Party other than the Registrant</w:t>
            </w:r>
          </w:p>
        </w:tc>
        <w:tc>
          <w:tcPr>
            <w:tcW w:w="230" w:type="dxa"/>
            <w:tcBorders/>
            <w:vAlign w:val="center"/>
          </w:tcPr>
          <w:p>
            <w:pPr>
              <w:pStyle w:val="TableContents"/>
              <w:bidi w:val="0"/>
              <w:spacing w:before="0" w:after="0"/>
              <w:jc w:val="left"/>
              <w:rPr/>
            </w:pPr>
            <w:r>
              <w:rPr/>
              <w: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w:t>
      </w:r>
    </w:p>
    <w:p>
      <w:pPr>
        <w:pStyle w:val="Normal"/>
        <w:bidi w:val="0"/>
        <w:spacing w:before="0" w:after="0"/>
        <w:jc w:val="left"/>
        <w:rPr>
          <w:sz w:val="4"/>
          <w:szCs w:val="4"/>
        </w:rPr>
      </w:pPr>
      <w:r>
        <w:rPr>
          <w:sz w:val="4"/>
          <w:szCs w:val="4"/>
        </w:rPr>
      </w:r>
      <w:bookmarkStart w:id="6" w:name="z62f7585ac9684436af8d28c343319b06"/>
      <w:bookmarkStart w:id="7" w:name="z62f7585ac9684436af8d28c343319b06"/>
      <w:bookmarkEnd w:id="7"/>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0"/>
              <w:jc w:val="left"/>
              <w:rPr>
                <w:sz w:val="20"/>
              </w:rPr>
            </w:pPr>
            <w:r>
              <w:rPr>
                <w:sz w:val="20"/>
              </w:rPr>
              <w:t>Preliminary Proxy Statement</w:t>
            </w:r>
          </w:p>
        </w:tc>
      </w:tr>
    </w:tbl>
    <w:p>
      <w:pPr>
        <w:pStyle w:val="Normal"/>
        <w:bidi w:val="0"/>
        <w:spacing w:before="0" w:after="0"/>
        <w:jc w:val="left"/>
        <w:rPr>
          <w:sz w:val="4"/>
          <w:szCs w:val="4"/>
        </w:rPr>
      </w:pPr>
      <w:r>
        <w:rPr>
          <w:sz w:val="4"/>
          <w:szCs w:val="4"/>
        </w:rPr>
      </w:r>
      <w:bookmarkStart w:id="8" w:name="z435aa2645b714b7c9a333b478dfa5f6c"/>
      <w:bookmarkStart w:id="9" w:name="z435aa2645b714b7c9a333b478dfa5f6c"/>
      <w:bookmarkEnd w:id="9"/>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0"/>
              <w:jc w:val="left"/>
              <w:rPr>
                <w:b/>
                <w:sz w:val="20"/>
              </w:rPr>
            </w:pPr>
            <w:r>
              <w:rPr>
                <w:b/>
                <w:sz w:val="20"/>
              </w:rPr>
              <w:t>Confidential, for Use of the Commission Only (as permitted by Rule 14a-6(e)(2))</w:t>
            </w:r>
          </w:p>
        </w:tc>
      </w:tr>
    </w:tbl>
    <w:p>
      <w:pPr>
        <w:pStyle w:val="Normal"/>
        <w:bidi w:val="0"/>
        <w:spacing w:before="0" w:after="0"/>
        <w:jc w:val="left"/>
        <w:rPr>
          <w:sz w:val="4"/>
          <w:szCs w:val="4"/>
        </w:rPr>
      </w:pPr>
      <w:r>
        <w:rPr>
          <w:sz w:val="4"/>
          <w:szCs w:val="4"/>
        </w:rPr>
      </w:r>
      <w:bookmarkStart w:id="10" w:name="zb003d45b70f14b99871a0fa0124c0caf"/>
      <w:bookmarkStart w:id="11" w:name="zb003d45b70f14b99871a0fa0124c0caf"/>
      <w:bookmarkEnd w:id="11"/>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0"/>
              <w:jc w:val="left"/>
              <w:rPr>
                <w:sz w:val="20"/>
              </w:rPr>
            </w:pPr>
            <w:r>
              <w:rPr>
                <w:sz w:val="20"/>
              </w:rPr>
              <w:t>Definitive Proxy Statement</w:t>
            </w:r>
          </w:p>
        </w:tc>
      </w:tr>
    </w:tbl>
    <w:p>
      <w:pPr>
        <w:pStyle w:val="Normal"/>
        <w:bidi w:val="0"/>
        <w:spacing w:before="0" w:after="0"/>
        <w:jc w:val="left"/>
        <w:rPr>
          <w:sz w:val="4"/>
          <w:szCs w:val="4"/>
        </w:rPr>
      </w:pPr>
      <w:r>
        <w:rPr>
          <w:sz w:val="4"/>
          <w:szCs w:val="4"/>
        </w:rPr>
      </w:r>
      <w:bookmarkStart w:id="12" w:name="z7c5a35c1c1c347fdab272a9f4a51ee4d"/>
      <w:bookmarkStart w:id="13" w:name="z7c5a35c1c1c347fdab272a9f4a51ee4d"/>
      <w:bookmarkEnd w:id="13"/>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sz w:val="20"/>
              </w:rPr>
            </w:pPr>
            <w:r>
              <w:rPr>
                <w:sz w:val="20"/>
              </w:rPr>
              <w:t>Definitive Additional Materials</w:t>
            </w:r>
          </w:p>
        </w:tc>
      </w:tr>
    </w:tbl>
    <w:p>
      <w:pPr>
        <w:pStyle w:val="Normal"/>
        <w:bidi w:val="0"/>
        <w:spacing w:before="0" w:after="0"/>
        <w:jc w:val="left"/>
        <w:rPr>
          <w:sz w:val="4"/>
          <w:szCs w:val="4"/>
        </w:rPr>
      </w:pPr>
      <w:r>
        <w:rPr>
          <w:sz w:val="4"/>
          <w:szCs w:val="4"/>
        </w:rPr>
      </w:r>
      <w:bookmarkStart w:id="14" w:name="z2e25135a7f6e4a0e824717493add748a"/>
      <w:bookmarkStart w:id="15" w:name="z2e25135a7f6e4a0e824717493add748a"/>
      <w:bookmarkEnd w:id="15"/>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left"/>
              <w:rPr>
                <w:sz w:val="20"/>
              </w:rPr>
            </w:pPr>
            <w:r>
              <w:rPr>
                <w:sz w:val="20"/>
              </w:rPr>
              <w:t>Soliciting Material under §240.14a-12</w:t>
            </w:r>
          </w:p>
        </w:tc>
      </w:tr>
    </w:tbl>
    <w:p>
      <w:pPr>
        <w:pStyle w:val="TextBody"/>
        <w:bidi w:val="0"/>
        <w:spacing w:before="0" w:after="0"/>
        <w:ind w:left="0" w:right="0" w:hanging="0"/>
        <w:jc w:val="center"/>
        <w:rPr>
          <w:b/>
          <w:sz w:val="20"/>
        </w:rPr>
      </w:pPr>
      <w:r>
        <w:rPr>
          <w:b/>
          <w:sz w:val="20"/>
        </w:rPr>
      </w:r>
    </w:p>
    <w:p>
      <w:pPr>
        <w:pStyle w:val="TextBody"/>
        <w:bidi w:val="0"/>
        <w:spacing w:before="0" w:after="0"/>
        <w:ind w:left="0" w:right="0" w:hanging="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ind w:left="0" w:right="0" w:hanging="0"/>
        <w:jc w:val="center"/>
        <w:rPr>
          <w:b/>
          <w:sz w:val="20"/>
        </w:rPr>
      </w:pPr>
      <w:r>
        <w:rPr>
          <w:b/>
          <w:sz w:val="20"/>
        </w:rPr>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N/A</w:t>
      </w:r>
    </w:p>
    <w:p>
      <w:pPr>
        <w:pStyle w:val="HorizontalLine"/>
        <w:pBdr>
          <w:bottom w:val="single" w:sz="12" w:space="0" w:color="808080"/>
        </w:pBdr>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Normal"/>
        <w:bidi w:val="0"/>
        <w:spacing w:before="0" w:after="0"/>
        <w:jc w:val="left"/>
        <w:rPr>
          <w:sz w:val="4"/>
          <w:szCs w:val="4"/>
        </w:rPr>
      </w:pPr>
      <w:r>
        <w:rPr>
          <w:sz w:val="4"/>
          <w:szCs w:val="4"/>
        </w:rPr>
      </w:r>
      <w:bookmarkStart w:id="16" w:name="z5a57322116bd423f9f19e59d02ebcc1a"/>
      <w:bookmarkStart w:id="17" w:name="z5a57322116bd423f9f19e59d02ebcc1a"/>
      <w:bookmarkEnd w:id="17"/>
    </w:p>
    <w:tbl>
      <w:tblPr>
        <w:tblW w:w="1525" w:type="dxa"/>
        <w:jc w:val="left"/>
        <w:tblInd w:w="0" w:type="dxa"/>
        <w:tblLayout w:type="fixed"/>
        <w:tblCellMar>
          <w:top w:w="0" w:type="dxa"/>
          <w:left w:w="0" w:type="dxa"/>
          <w:bottom w:w="0" w:type="dxa"/>
          <w:right w:w="0" w:type="dxa"/>
        </w:tblCellMar>
      </w:tblPr>
      <w:tblGrid>
        <w:gridCol w:w="245"/>
        <w:gridCol w:w="1280"/>
      </w:tblGrid>
      <w:tr>
        <w:trPr/>
        <w:tc>
          <w:tcPr>
            <w:tcW w:w="245"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0"/>
              <w:jc w:val="left"/>
              <w:rPr>
                <w:sz w:val="20"/>
              </w:rPr>
            </w:pPr>
            <w:r>
              <w:rPr>
                <w:sz w:val="20"/>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f67b871ef8b1423bae80fb7959e16486"/>
      <w:bookmarkStart w:id="19" w:name="zf67b871ef8b1423bae80fb7959e16486"/>
      <w:bookmarkEnd w:id="19"/>
    </w:p>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0"/>
              <w:jc w:val="left"/>
              <w:rPr>
                <w:sz w:val="20"/>
              </w:rPr>
            </w:pPr>
            <w:r>
              <w:rPr>
                <w:sz w:val="20"/>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130890b725984858b09508a1a6c6461d"/>
      <w:bookmarkStart w:id="21" w:name="z130890b725984858b09508a1a6c6461d"/>
      <w:bookmarkEnd w:id="21"/>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0"/>
              <w:jc w:val="left"/>
              <w:rPr>
                <w:sz w:val="20"/>
              </w:rPr>
            </w:pPr>
            <w:r>
              <w:rPr>
                <w:sz w:val="20"/>
              </w:rPr>
              <w:t>Fee computed on table in exhibit required by Item 25(b) per Exchange Act Rules 14a-6(i)(1) and 0-11</w:t>
            </w:r>
          </w:p>
        </w:tc>
      </w:tr>
    </w:tbl>
    <w:p>
      <w:pPr>
        <w:pStyle w:val="TextBody"/>
        <w:bidi w:val="0"/>
        <w:spacing w:before="0" w:after="0"/>
        <w:jc w:val="left"/>
        <w:rPr/>
      </w:pPr>
      <w:r>
        <w:rPr/>
      </w:r>
    </w:p>
    <w:p>
      <w:pPr>
        <w:pStyle w:val="HorizontalLine"/>
        <w:bidi w:val="0"/>
        <w:spacing w:before="200" w:after="20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Important Information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communications relate to the proposed acquisition of Mistras Group, Inc., a Delaware corporation (the “Company”), by Athena Purchaser, LLC, a Delaware limited liability company (“Parent”), pursuant to an Agreement and Plan of Merger (the “Merger Agreement”), dated as of September 17, 2026, by and among the Company, Parent and Athena Merger Sub, Inc., a Delaware corporation and a wholly owned subsidiary of Parent (“Acquisition Sub”). Parent and Acquisition Sub are controlled by funds affiliated with H.I.G. Capital (“H.I.G.”). 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distributed the below communication to guide discussions with the public about the proposed Merger.</w:t>
      </w:r>
    </w:p>
    <w:p>
      <w:pPr>
        <w:pStyle w:val="TextBody"/>
        <w:bidi w:val="0"/>
        <w:spacing w:before="0" w:after="0"/>
        <w:jc w:val="both"/>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Customer Letter</w:t>
      </w:r>
    </w:p>
    <w:p>
      <w:pPr>
        <w:pStyle w:val="HorizontalLine"/>
        <w:pBdr>
          <w:bottom w:val="single" w:sz="12" w:space="0" w:color="808080"/>
        </w:pBdr>
        <w:bidi w:val="0"/>
        <w:jc w:val="both"/>
        <w:rPr/>
      </w:pPr>
      <w:r>
        <w:rPr/>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An Exciting Update About the Future of MISTRAS</w:t>
      </w:r>
    </w:p>
    <w:p>
      <w:pPr>
        <w:pStyle w:val="TextBody"/>
        <w:bidi w:val="0"/>
        <w:spacing w:before="0" w:after="0"/>
        <w:jc w:val="both"/>
        <w:rPr/>
      </w:pPr>
      <w:r>
        <w:rPr/>
      </w:r>
    </w:p>
    <w:p>
      <w:pPr>
        <w:pStyle w:val="TextBody"/>
        <w:bidi w:val="0"/>
        <w:spacing w:before="0" w:after="0"/>
        <w:jc w:val="left"/>
        <w:rPr/>
      </w:pPr>
      <w:r>
        <w:rPr>
          <w:rFonts w:ascii="Times New Roman" w:hAnsi="Times New Roman"/>
          <w:color w:val="000000"/>
          <w:sz w:val="20"/>
        </w:rPr>
        <w:t xml:space="preserve">Today, MISTRAS </w:t>
      </w:r>
      <w:hyperlink r:id="rId2">
        <w:r>
          <w:rPr>
            <w:rStyle w:val="InternetLink"/>
          </w:rPr>
          <w:t>announced</w:t>
        </w:r>
      </w:hyperlink>
      <w:r>
        <w:rPr>
          <w:rFonts w:ascii="Times New Roman" w:hAnsi="Times New Roman"/>
          <w:color w:val="000000"/>
          <w:sz w:val="20"/>
        </w:rPr>
        <w:t xml:space="preserve"> that we have entered into an agreement to be acquired by H.I.G. Capital, a leading global alternative investment firm.</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announcement marks an important milestone in MISTRAS’ journey to become the leading integrated integrity and testing platform. H.I.G.’s confidence in our business reflects the strength of our team and the capabilities we have built, as well as the attractive opportunities we see ahead. We believe this agreement will position us to accelerate our growth and expand the ways we serve you, while maintaining our commitment to the safety, quality, and reliability you depend on every day.</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H.I.G., we have found a partner that understands the important role MISTRAS plays for our customers and shares our vision for the future. H.I.G. has a proven track record of successful partnerships with companies across the industrial and business services sectors, bringing over 30 years of investment experience. We look forward to working with their team as we continue investing in our people, technology, capabilities and enhancing the products and services you rely on.</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While we are excited about the opportunities ahead in partnership with H.I.G., it remains business as usual at MISTRAS as we move toward the closing of the transaction, which we expect to occur in late 2026 or early 2027 subject to customary closing conditions, approval by the company’s stockholders and the receipt of required regulatory approvals. There are no changes to the products and services we provide or the way we work with you as a result of today’s announcement. Our existing agreements remain in place, and you can continue to work with your usual MISTRAS contacts. Across the company, our teams remain fully focused on supporting your business just as we do today and delivering the high-quality service you expect from us.</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greatly value our relationship with you and appreciate the trust you place in MISTRAS. We look forward to continuing to serve you long into the future.</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you have any questions, please do not hesitate to reach out.</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ind w:left="0" w:right="0" w:hanging="0"/>
        <w:jc w:val="both"/>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ind w:left="0" w:right="0" w:hanging="0"/>
        <w:jc w:val="left"/>
        <w:rPr/>
      </w:pPr>
      <w:r>
        <w:rPr/>
      </w:r>
    </w:p>
    <w:p>
      <w:pPr>
        <w:pStyle w:val="HorizontalLine"/>
        <w:pBdr>
          <w:bottom w:val="single" w:sz="12" w:space="0" w:color="808080"/>
        </w:pBdr>
        <w:bidi w:val="0"/>
        <w:spacing w:before="180" w:after="180"/>
        <w:jc w:val="both"/>
        <w:rPr/>
      </w:pPr>
      <w:r>
        <w:rPr/>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ind w:left="0" w:right="0" w:hanging="0"/>
        <w:jc w:val="left"/>
        <w:rPr>
          <w:b/>
        </w:rPr>
      </w:pPr>
      <w:r>
        <w:rPr>
          <w:b/>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ind w:left="0" w:right="0" w:hanging="0"/>
        <w:jc w:val="both"/>
        <w:rPr/>
      </w:pPr>
      <w:r>
        <w:rPr/>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ind w:left="0" w:right="0" w:hanging="0"/>
        <w:jc w:val="both"/>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ind w:left="0" w:right="0" w:hanging="0"/>
        <w:jc w:val="left"/>
        <w:rPr/>
      </w:pPr>
      <w:r>
        <w:rPr/>
      </w:r>
    </w:p>
    <w:p>
      <w:pPr>
        <w:pStyle w:val="HorizontalLine"/>
        <w:pBdr>
          <w:bottom w:val="single" w:sz="12" w:space="0" w:color="808080"/>
        </w:pBdr>
        <w:bidi w:val="0"/>
        <w:spacing w:before="180" w:after="180"/>
        <w:jc w:val="both"/>
        <w:rPr/>
      </w:pPr>
      <w:r>
        <w:rPr/>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ind w:left="0" w:right="0" w:hanging="0"/>
        <w:jc w:val="both"/>
        <w:rPr/>
      </w:pPr>
      <w:r>
        <w:rPr/>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Certain statements contained in this communication,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both"/>
        <w:rPr/>
      </w:pPr>
      <w:r>
        <w:rPr/>
      </w:r>
    </w:p>
    <w:p>
      <w:pPr>
        <w:pStyle w:val="TextBody"/>
        <w:bidi w:val="0"/>
        <w:spacing w:before="0" w:after="0"/>
        <w:jc w:val="both"/>
        <w:rPr>
          <w:sz w:val="20"/>
        </w:rPr>
      </w:pPr>
      <w:r>
        <w:rPr>
          <w:sz w:val="20"/>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6126/000114036126037107/ef20082419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1887</Words>
  <Characters>10443</Characters>
  <CharactersWithSpaces>12281</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