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6" w:lineRule="exact"/>
        <w:rPr>
          <w:sz w:val="24"/>
          <w:szCs w:val="24"/>
          <w:color w:val="auto"/>
        </w:rPr>
      </w:pPr>
    </w:p>
    <w:p>
      <w:pPr>
        <w:ind w:left="660" w:right="280" w:hanging="328"/>
        <w:spacing w:after="0" w:line="262" w:lineRule="auto"/>
        <w:tabs>
          <w:tab w:leader="none" w:pos="525"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quarterly period ended November 30, 2012</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ind w:left="660" w:right="220" w:hanging="328"/>
        <w:spacing w:after="0" w:line="262" w:lineRule="auto"/>
        <w:tabs>
          <w:tab w:leader="none" w:pos="566"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transition period to</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number 001- 34481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Mistras Group, Inc.</w:t>
      </w:r>
    </w:p>
    <w:p>
      <w:pPr>
        <w:spacing w:after="0" w:line="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tbl>
      <w:tblPr>
        <w:tblLayout w:type="fixed"/>
        <w:tblInd w:w="1320" w:type="dxa"/>
        <w:tblCellMar>
          <w:top w:w="0" w:type="dxa"/>
          <w:left w:w="0" w:type="dxa"/>
          <w:bottom w:w="0" w:type="dxa"/>
          <w:right w:w="0" w:type="dxa"/>
        </w:tblCellMar>
      </w:tblPr>
      <w:tr>
        <w:trPr>
          <w:trHeight w:val="220"/>
        </w:trPr>
        <w:tc>
          <w:tcPr>
            <w:tcW w:w="6500" w:type="dxa"/>
            <w:vAlign w:val="bottom"/>
          </w:tcPr>
          <w:p>
            <w:pPr>
              <w:jc w:val="center"/>
              <w:ind w:right="35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22-3341267</w:t>
            </w:r>
          </w:p>
        </w:tc>
      </w:tr>
      <w:tr>
        <w:trPr>
          <w:trHeight w:val="216"/>
        </w:trPr>
        <w:tc>
          <w:tcPr>
            <w:tcW w:w="6500" w:type="dxa"/>
            <w:vAlign w:val="bottom"/>
          </w:tcPr>
          <w:p>
            <w:pPr>
              <w:jc w:val="center"/>
              <w:ind w:right="35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5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500" w:type="dxa"/>
            <w:vAlign w:val="bottom"/>
          </w:tcPr>
          <w:p>
            <w:pPr>
              <w:jc w:val="center"/>
              <w:ind w:right="35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6500" w:type="dxa"/>
            <w:vAlign w:val="bottom"/>
          </w:tcPr>
          <w:p>
            <w:pPr>
              <w:jc w:val="center"/>
              <w:ind w:right="3530"/>
              <w:spacing w:after="0"/>
              <w:rPr>
                <w:sz w:val="20"/>
                <w:szCs w:val="20"/>
                <w:color w:val="auto"/>
              </w:rPr>
            </w:pPr>
            <w:r>
              <w:rPr>
                <w:rFonts w:ascii="Times New Roman" w:cs="Times New Roman" w:eastAsia="Times New Roman" w:hAnsi="Times New Roman"/>
                <w:sz w:val="18"/>
                <w:szCs w:val="18"/>
                <w:b w:val="1"/>
                <w:bCs w:val="1"/>
                <w:color w:val="auto"/>
                <w:w w:val="99"/>
              </w:rPr>
              <w:t>195 Clarksville Road</w:t>
            </w:r>
          </w:p>
        </w:tc>
        <w:tc>
          <w:tcPr>
            <w:tcW w:w="1520" w:type="dxa"/>
            <w:vAlign w:val="bottom"/>
          </w:tcPr>
          <w:p>
            <w:pPr>
              <w:spacing w:after="0"/>
              <w:rPr>
                <w:sz w:val="24"/>
                <w:szCs w:val="24"/>
                <w:color w:val="auto"/>
              </w:rPr>
            </w:pPr>
          </w:p>
        </w:tc>
      </w:tr>
      <w:tr>
        <w:trPr>
          <w:trHeight w:val="220"/>
        </w:trPr>
        <w:tc>
          <w:tcPr>
            <w:tcW w:w="6500" w:type="dxa"/>
            <w:vAlign w:val="bottom"/>
          </w:tcPr>
          <w:p>
            <w:pPr>
              <w:jc w:val="center"/>
              <w:ind w:right="3530"/>
              <w:spacing w:after="0"/>
              <w:rPr>
                <w:sz w:val="20"/>
                <w:szCs w:val="20"/>
                <w:color w:val="auto"/>
              </w:rPr>
            </w:pPr>
            <w:r>
              <w:rPr>
                <w:rFonts w:ascii="Times New Roman" w:cs="Times New Roman" w:eastAsia="Times New Roman" w:hAnsi="Times New Roman"/>
                <w:sz w:val="18"/>
                <w:szCs w:val="18"/>
                <w:b w:val="1"/>
                <w:bCs w:val="1"/>
                <w:color w:val="auto"/>
              </w:rPr>
              <w:t>Princeton Junction, New Jersey</w:t>
            </w:r>
          </w:p>
        </w:tc>
        <w:tc>
          <w:tcPr>
            <w:tcW w:w="15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08550</w:t>
            </w:r>
          </w:p>
        </w:tc>
      </w:tr>
      <w:tr>
        <w:trPr>
          <w:trHeight w:val="234"/>
        </w:trPr>
        <w:tc>
          <w:tcPr>
            <w:tcW w:w="6500" w:type="dxa"/>
            <w:vAlign w:val="bottom"/>
          </w:tcPr>
          <w:p>
            <w:pPr>
              <w:jc w:val="center"/>
              <w:ind w:right="35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6500" w:type="dxa"/>
            <w:vAlign w:val="bottom"/>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(609) 716-4000</w:t>
            </w:r>
          </w:p>
        </w:tc>
        <w:tc>
          <w:tcPr>
            <w:tcW w:w="1520" w:type="dxa"/>
            <w:vAlign w:val="bottom"/>
          </w:tcPr>
          <w:p>
            <w:pPr>
              <w:spacing w:after="0"/>
              <w:rPr>
                <w:sz w:val="24"/>
                <w:szCs w:val="24"/>
                <w:color w:val="auto"/>
              </w:rPr>
            </w:pPr>
          </w:p>
        </w:tc>
      </w:tr>
      <w:tr>
        <w:trPr>
          <w:trHeight w:val="234"/>
        </w:trPr>
        <w:tc>
          <w:tcPr>
            <w:tcW w:w="650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5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76" w:lineRule="exact"/>
        <w:rPr>
          <w:sz w:val="24"/>
          <w:szCs w:val="24"/>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o No</w:t>
      </w:r>
    </w:p>
    <w:p>
      <w:pPr>
        <w:spacing w:after="0" w:line="176"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00"/>
          </w:cols>
          <w:pgMar w:left="240" w:top="229" w:right="359" w:bottom="0" w:gutter="0" w:footer="0" w:header="0"/>
        </w:sectPr>
      </w:pPr>
    </w:p>
    <w:p>
      <w:pPr>
        <w:spacing w:after="0" w:line="162"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8"/>
          <w:szCs w:val="18"/>
          <w:color w:val="auto"/>
        </w:rPr>
        <w:t>Large accelerated filer o</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x</w:t>
      </w:r>
    </w:p>
    <w:p>
      <w:pPr>
        <w:spacing w:after="0" w:line="200" w:lineRule="exact"/>
        <w:rPr>
          <w:sz w:val="24"/>
          <w:szCs w:val="24"/>
          <w:color w:val="auto"/>
        </w:rPr>
      </w:pPr>
    </w:p>
    <w:p>
      <w:pPr>
        <w:sectPr>
          <w:pgSz w:w="11900" w:h="16838" w:orient="portrait"/>
          <w:cols w:equalWidth="0" w:num="2">
            <w:col w:w="7280" w:space="720"/>
            <w:col w:w="3300"/>
          </w:cols>
          <w:pgMar w:left="240" w:top="229" w:right="359" w:bottom="0" w:gutter="0" w:footer="0" w:header="0"/>
          <w:type w:val="continuous"/>
        </w:sectPr>
      </w:pPr>
    </w:p>
    <w:p>
      <w:pPr>
        <w:spacing w:after="0" w:line="25"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7"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 o</w:t>
      </w:r>
    </w:p>
    <w:p>
      <w:pPr>
        <w:spacing w:after="0" w:line="422" w:lineRule="exact"/>
        <w:rPr>
          <w:sz w:val="24"/>
          <w:szCs w:val="24"/>
          <w:color w:val="auto"/>
        </w:rPr>
      </w:pPr>
    </w:p>
    <w:p>
      <w:pPr>
        <w:sectPr>
          <w:pgSz w:w="11900" w:h="16838" w:orient="portrait"/>
          <w:cols w:equalWidth="0" w:num="2">
            <w:col w:w="6900" w:space="720"/>
            <w:col w:w="3680"/>
          </w:cols>
          <w:pgMar w:left="240" w:top="229" w:right="359" w:bottom="0" w:gutter="0" w:footer="0" w:header="0"/>
          <w:type w:val="continuous"/>
        </w:sectPr>
      </w:pPr>
    </w:p>
    <w:p>
      <w:pPr>
        <w:spacing w:after="0" w:line="1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o Yes x No</w:t>
      </w:r>
    </w:p>
    <w:p>
      <w:pPr>
        <w:spacing w:after="0" w:line="2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January 1, 2013, the registrant had 28,161,857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TABLE OF CONTENTS</w:t>
      </w:r>
    </w:p>
    <w:p>
      <w:pPr>
        <w:sectPr>
          <w:pgSz w:w="11900" w:h="16838" w:orient="portrait"/>
          <w:cols w:equalWidth="0" w:num="1">
            <w:col w:w="11300"/>
          </w:cols>
          <w:pgMar w:left="240" w:top="229" w:right="35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80" w:type="dxa"/>
            <w:vAlign w:val="bottom"/>
            <w:gridSpan w:val="12"/>
            <w:vMerge w:val="restart"/>
          </w:tcPr>
          <w:p>
            <w:pPr>
              <w:spacing w:after="0"/>
              <w:rPr>
                <w:rFonts w:ascii="Times New Roman" w:cs="Times New Roman" w:eastAsia="Times New Roman" w:hAnsi="Times New Roman"/>
                <w:sz w:val="18"/>
                <w:szCs w:val="18"/>
                <w:color w:val="0000EE"/>
                <w:w w:val="98"/>
              </w:rPr>
            </w:pPr>
            <w:hyperlink w:anchor="page2">
              <w:r>
                <w:rPr>
                  <w:rFonts w:ascii="Times New Roman" w:cs="Times New Roman" w:eastAsia="Times New Roman" w:hAnsi="Times New Roman"/>
                  <w:sz w:val="18"/>
                  <w:szCs w:val="18"/>
                  <w:color w:val="0000EE"/>
                  <w:w w:val="98"/>
                </w:rPr>
                <w:t>PART I—FINANCIAL INFORMATION</w:t>
              </w:r>
            </w:hyperlink>
          </w:p>
        </w:tc>
        <w:tc>
          <w:tcPr>
            <w:tcW w:w="7620" w:type="dxa"/>
            <w:vAlign w:val="bottom"/>
            <w:gridSpan w:val="14"/>
            <w:vMerge w:val="restart"/>
          </w:tcPr>
          <w:p>
            <w:pPr>
              <w:spacing w:after="0"/>
              <w:rPr>
                <w:sz w:val="15"/>
                <w:szCs w:val="15"/>
                <w:color w:val="auto"/>
              </w:rPr>
            </w:pPr>
          </w:p>
        </w:tc>
        <w:tc>
          <w:tcPr>
            <w:tcW w:w="8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2980" w:type="dxa"/>
            <w:vAlign w:val="bottom"/>
            <w:tcBorders>
              <w:bottom w:val="single" w:sz="8" w:color="0000EE"/>
            </w:tcBorders>
            <w:gridSpan w:val="12"/>
            <w:vMerge w:val="continue"/>
          </w:tcPr>
          <w:p>
            <w:pPr>
              <w:spacing w:after="0"/>
              <w:rPr>
                <w:sz w:val="13"/>
                <w:szCs w:val="13"/>
                <w:color w:val="auto"/>
              </w:rPr>
            </w:pPr>
          </w:p>
        </w:tc>
        <w:tc>
          <w:tcPr>
            <w:tcW w:w="7620" w:type="dxa"/>
            <w:vAlign w:val="bottom"/>
            <w:gridSpan w:val="14"/>
            <w:vMerge w:val="continue"/>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1240" w:type="dxa"/>
            <w:vAlign w:val="bottom"/>
            <w:gridSpan w:val="4"/>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ITEM 1.</w:t>
              </w:r>
            </w:hyperlink>
          </w:p>
        </w:tc>
        <w:tc>
          <w:tcPr>
            <w:tcW w:w="8820" w:type="dxa"/>
            <w:vAlign w:val="bottom"/>
            <w:gridSpan w:val="21"/>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Financial Statements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20" w:type="dxa"/>
            <w:vAlign w:val="bottom"/>
            <w:gridSpan w:val="21"/>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Unaudited Consolidated Balance Sheets as of November 30, 2012 and May 31, 2012</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20" w:type="dxa"/>
            <w:vAlign w:val="bottom"/>
            <w:gridSpan w:val="2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Unaudited Consolidated Statements of Operations for the three and six months ended November 30, 2012 and 2011</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20" w:type="dxa"/>
            <w:vAlign w:val="bottom"/>
            <w:gridSpan w:val="21"/>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 Consolidated Statements of Comprehensive Income for the three and six months ended November 30, 2012</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and 2011</w:t>
              </w:r>
            </w:hyperlink>
          </w:p>
        </w:tc>
        <w:tc>
          <w:tcPr>
            <w:tcW w:w="7880" w:type="dxa"/>
            <w:vAlign w:val="bottom"/>
            <w:tcBorders>
              <w:top w:val="single" w:sz="8" w:color="0000EE"/>
            </w:tcBorders>
            <w:gridSpan w:val="15"/>
          </w:tcPr>
          <w:p>
            <w:pPr>
              <w:spacing w:after="0"/>
              <w:rPr>
                <w:sz w:val="17"/>
                <w:szCs w:val="17"/>
                <w:color w:val="auto"/>
              </w:rPr>
            </w:pPr>
          </w:p>
        </w:tc>
        <w:tc>
          <w:tcPr>
            <w:tcW w:w="280" w:type="dxa"/>
            <w:vAlign w:val="bottom"/>
            <w:gridSpan w:val="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20" w:type="dxa"/>
            <w:vAlign w:val="bottom"/>
            <w:gridSpan w:val="21"/>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Unaudited Consolidated Statements of Changes in Stockholders’ Equity for the six months ended November 30, 2012 and</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w:anchor="page4">
              <w:r>
                <w:rPr>
                  <w:rFonts w:ascii="Times New Roman" w:cs="Times New Roman" w:eastAsia="Times New Roman" w:hAnsi="Times New Roman"/>
                  <w:sz w:val="18"/>
                  <w:szCs w:val="18"/>
                  <w:color w:val="0000EE"/>
                  <w:w w:val="94"/>
                </w:rPr>
                <w:t>2011</w:t>
              </w:r>
            </w:hyperlink>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20" w:type="dxa"/>
            <w:vAlign w:val="bottom"/>
            <w:gridSpan w:val="21"/>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 Consolidated Statements of Cash Flows for the six months ended November 30, 2012 and 2011</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6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Notes to Unaudited Condensed Consolidated Financial Statements</w:t>
              </w:r>
            </w:hyperlink>
          </w:p>
        </w:tc>
        <w:tc>
          <w:tcPr>
            <w:tcW w:w="116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640" w:type="dxa"/>
            <w:vAlign w:val="bottom"/>
            <w:gridSpan w:val="2"/>
          </w:tcPr>
          <w:p>
            <w:pPr>
              <w:spacing w:after="0"/>
              <w:rPr>
                <w:rFonts w:ascii="Times New Roman" w:cs="Times New Roman" w:eastAsia="Times New Roman" w:hAnsi="Times New Roman"/>
                <w:sz w:val="18"/>
                <w:szCs w:val="18"/>
                <w:color w:val="0000EE"/>
                <w:w w:val="96"/>
              </w:rPr>
            </w:pPr>
            <w:hyperlink w:anchor="page16">
              <w:r>
                <w:rPr>
                  <w:rFonts w:ascii="Times New Roman" w:cs="Times New Roman" w:eastAsia="Times New Roman" w:hAnsi="Times New Roman"/>
                  <w:sz w:val="18"/>
                  <w:szCs w:val="18"/>
                  <w:color w:val="0000EE"/>
                  <w:w w:val="96"/>
                </w:rPr>
                <w:t>ITEM 2.</w:t>
              </w:r>
            </w:hyperlink>
          </w:p>
        </w:tc>
        <w:tc>
          <w:tcPr>
            <w:tcW w:w="600" w:type="dxa"/>
            <w:vAlign w:val="bottom"/>
            <w:gridSpan w:val="2"/>
          </w:tcPr>
          <w:p>
            <w:pPr>
              <w:spacing w:after="0"/>
              <w:rPr>
                <w:sz w:val="24"/>
                <w:szCs w:val="24"/>
                <w:color w:val="auto"/>
              </w:rPr>
            </w:pPr>
          </w:p>
        </w:tc>
        <w:tc>
          <w:tcPr>
            <w:tcW w:w="8820" w:type="dxa"/>
            <w:vAlign w:val="bottom"/>
            <w:gridSpan w:val="21"/>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640" w:type="dxa"/>
            <w:vAlign w:val="bottom"/>
            <w:gridSpan w:val="2"/>
          </w:tcPr>
          <w:p>
            <w:pPr>
              <w:spacing w:after="0"/>
              <w:rPr>
                <w:rFonts w:ascii="Times New Roman" w:cs="Times New Roman" w:eastAsia="Times New Roman" w:hAnsi="Times New Roman"/>
                <w:sz w:val="18"/>
                <w:szCs w:val="18"/>
                <w:color w:val="0000EE"/>
                <w:w w:val="96"/>
              </w:rPr>
            </w:pPr>
            <w:hyperlink w:anchor="page24">
              <w:r>
                <w:rPr>
                  <w:rFonts w:ascii="Times New Roman" w:cs="Times New Roman" w:eastAsia="Times New Roman" w:hAnsi="Times New Roman"/>
                  <w:sz w:val="18"/>
                  <w:szCs w:val="18"/>
                  <w:color w:val="0000EE"/>
                  <w:w w:val="96"/>
                </w:rPr>
                <w:t>ITEM 3.</w:t>
              </w:r>
            </w:hyperlink>
          </w:p>
        </w:tc>
        <w:tc>
          <w:tcPr>
            <w:tcW w:w="600" w:type="dxa"/>
            <w:vAlign w:val="bottom"/>
            <w:gridSpan w:val="2"/>
          </w:tcPr>
          <w:p>
            <w:pPr>
              <w:spacing w:after="0"/>
              <w:rPr>
                <w:sz w:val="24"/>
                <w:szCs w:val="24"/>
                <w:color w:val="auto"/>
              </w:rPr>
            </w:pPr>
          </w:p>
        </w:tc>
        <w:tc>
          <w:tcPr>
            <w:tcW w:w="8820" w:type="dxa"/>
            <w:vAlign w:val="bottom"/>
            <w:gridSpan w:val="21"/>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Quantitative and Qualitative Disclosures about Market Risk</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640" w:type="dxa"/>
            <w:vAlign w:val="bottom"/>
            <w:gridSpan w:val="2"/>
          </w:tcPr>
          <w:p>
            <w:pPr>
              <w:spacing w:after="0"/>
              <w:rPr>
                <w:rFonts w:ascii="Times New Roman" w:cs="Times New Roman" w:eastAsia="Times New Roman" w:hAnsi="Times New Roman"/>
                <w:sz w:val="18"/>
                <w:szCs w:val="18"/>
                <w:color w:val="0000EE"/>
                <w:w w:val="96"/>
              </w:rPr>
            </w:pPr>
            <w:hyperlink w:anchor="page24">
              <w:r>
                <w:rPr>
                  <w:rFonts w:ascii="Times New Roman" w:cs="Times New Roman" w:eastAsia="Times New Roman" w:hAnsi="Times New Roman"/>
                  <w:sz w:val="18"/>
                  <w:szCs w:val="18"/>
                  <w:color w:val="0000EE"/>
                  <w:w w:val="96"/>
                </w:rPr>
                <w:t>ITEM 4.</w:t>
              </w:r>
            </w:hyperlink>
          </w:p>
        </w:tc>
        <w:tc>
          <w:tcPr>
            <w:tcW w:w="600" w:type="dxa"/>
            <w:vAlign w:val="bottom"/>
            <w:gridSpan w:val="2"/>
          </w:tcPr>
          <w:p>
            <w:pPr>
              <w:spacing w:after="0"/>
              <w:rPr>
                <w:sz w:val="24"/>
                <w:szCs w:val="24"/>
                <w:color w:val="auto"/>
              </w:rPr>
            </w:pPr>
          </w:p>
        </w:tc>
        <w:tc>
          <w:tcPr>
            <w:tcW w:w="8820" w:type="dxa"/>
            <w:vAlign w:val="bottom"/>
            <w:gridSpan w:val="21"/>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Controls and Procedures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48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0" w:type="dxa"/>
            <w:vAlign w:val="bottom"/>
            <w:gridSpan w:val="26"/>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PART II—OTHER INFORMATION</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48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640" w:type="dxa"/>
            <w:vAlign w:val="bottom"/>
            <w:gridSpan w:val="2"/>
          </w:tcPr>
          <w:p>
            <w:pPr>
              <w:spacing w:after="0"/>
              <w:rPr>
                <w:rFonts w:ascii="Times New Roman" w:cs="Times New Roman" w:eastAsia="Times New Roman" w:hAnsi="Times New Roman"/>
                <w:sz w:val="18"/>
                <w:szCs w:val="18"/>
                <w:color w:val="0000EE"/>
                <w:w w:val="96"/>
              </w:rPr>
            </w:pPr>
            <w:hyperlink w:anchor="page25">
              <w:r>
                <w:rPr>
                  <w:rFonts w:ascii="Times New Roman" w:cs="Times New Roman" w:eastAsia="Times New Roman" w:hAnsi="Times New Roman"/>
                  <w:sz w:val="18"/>
                  <w:szCs w:val="18"/>
                  <w:color w:val="0000EE"/>
                  <w:w w:val="96"/>
                </w:rPr>
                <w:t>ITEM 1.</w:t>
              </w:r>
            </w:hyperlink>
          </w:p>
        </w:tc>
        <w:tc>
          <w:tcPr>
            <w:tcW w:w="600" w:type="dxa"/>
            <w:vAlign w:val="bottom"/>
            <w:gridSpan w:val="2"/>
          </w:tcPr>
          <w:p>
            <w:pPr>
              <w:spacing w:after="0"/>
              <w:rPr>
                <w:sz w:val="24"/>
                <w:szCs w:val="24"/>
                <w:color w:val="auto"/>
              </w:rPr>
            </w:pPr>
          </w:p>
        </w:tc>
        <w:tc>
          <w:tcPr>
            <w:tcW w:w="8820" w:type="dxa"/>
            <w:vAlign w:val="bottom"/>
            <w:gridSpan w:val="21"/>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Legal Proceedings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48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240" w:type="dxa"/>
            <w:vAlign w:val="bottom"/>
            <w:gridSpan w:val="4"/>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1.A.</w:t>
              </w:r>
            </w:hyperlink>
          </w:p>
        </w:tc>
        <w:tc>
          <w:tcPr>
            <w:tcW w:w="8820" w:type="dxa"/>
            <w:vAlign w:val="bottom"/>
            <w:gridSpan w:val="21"/>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Risk Factors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48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640" w:type="dxa"/>
            <w:vAlign w:val="bottom"/>
            <w:gridSpan w:val="2"/>
          </w:tcPr>
          <w:p>
            <w:pPr>
              <w:spacing w:after="0"/>
              <w:rPr>
                <w:rFonts w:ascii="Times New Roman" w:cs="Times New Roman" w:eastAsia="Times New Roman" w:hAnsi="Times New Roman"/>
                <w:sz w:val="18"/>
                <w:szCs w:val="18"/>
                <w:color w:val="0000EE"/>
                <w:w w:val="96"/>
              </w:rPr>
            </w:pPr>
            <w:hyperlink w:anchor="page25">
              <w:r>
                <w:rPr>
                  <w:rFonts w:ascii="Times New Roman" w:cs="Times New Roman" w:eastAsia="Times New Roman" w:hAnsi="Times New Roman"/>
                  <w:sz w:val="18"/>
                  <w:szCs w:val="18"/>
                  <w:color w:val="0000EE"/>
                  <w:w w:val="96"/>
                </w:rPr>
                <w:t>ITEM 2.</w:t>
              </w:r>
            </w:hyperlink>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20" w:type="dxa"/>
            <w:vAlign w:val="bottom"/>
            <w:gridSpan w:val="21"/>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Unregistered Sales of Equity Securities and Use of Proceeds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48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640" w:type="dxa"/>
            <w:vAlign w:val="bottom"/>
            <w:gridSpan w:val="2"/>
          </w:tcPr>
          <w:p>
            <w:pPr>
              <w:spacing w:after="0"/>
              <w:rPr>
                <w:rFonts w:ascii="Times New Roman" w:cs="Times New Roman" w:eastAsia="Times New Roman" w:hAnsi="Times New Roman"/>
                <w:sz w:val="18"/>
                <w:szCs w:val="18"/>
                <w:color w:val="0000EE"/>
                <w:w w:val="96"/>
              </w:rPr>
            </w:pPr>
            <w:hyperlink w:anchor="page25">
              <w:r>
                <w:rPr>
                  <w:rFonts w:ascii="Times New Roman" w:cs="Times New Roman" w:eastAsia="Times New Roman" w:hAnsi="Times New Roman"/>
                  <w:sz w:val="18"/>
                  <w:szCs w:val="18"/>
                  <w:color w:val="0000EE"/>
                  <w:w w:val="96"/>
                </w:rPr>
                <w:t>ITEM 3.</w:t>
              </w:r>
            </w:hyperlink>
          </w:p>
        </w:tc>
        <w:tc>
          <w:tcPr>
            <w:tcW w:w="600" w:type="dxa"/>
            <w:vAlign w:val="bottom"/>
            <w:gridSpan w:val="2"/>
          </w:tcPr>
          <w:p>
            <w:pPr>
              <w:spacing w:after="0"/>
              <w:rPr>
                <w:sz w:val="24"/>
                <w:szCs w:val="24"/>
                <w:color w:val="auto"/>
              </w:rPr>
            </w:pPr>
          </w:p>
        </w:tc>
        <w:tc>
          <w:tcPr>
            <w:tcW w:w="8820" w:type="dxa"/>
            <w:vAlign w:val="bottom"/>
            <w:gridSpan w:val="21"/>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Defaults Upon Senior Securities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50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640" w:type="dxa"/>
            <w:vAlign w:val="bottom"/>
            <w:gridSpan w:val="2"/>
          </w:tcPr>
          <w:p>
            <w:pPr>
              <w:spacing w:after="0"/>
              <w:rPr>
                <w:rFonts w:ascii="Times New Roman" w:cs="Times New Roman" w:eastAsia="Times New Roman" w:hAnsi="Times New Roman"/>
                <w:sz w:val="18"/>
                <w:szCs w:val="18"/>
                <w:color w:val="0000EE"/>
                <w:w w:val="96"/>
              </w:rPr>
            </w:pPr>
            <w:hyperlink w:anchor="page25">
              <w:r>
                <w:rPr>
                  <w:rFonts w:ascii="Times New Roman" w:cs="Times New Roman" w:eastAsia="Times New Roman" w:hAnsi="Times New Roman"/>
                  <w:sz w:val="18"/>
                  <w:szCs w:val="18"/>
                  <w:color w:val="0000EE"/>
                  <w:w w:val="96"/>
                </w:rPr>
                <w:t>ITEM 4.</w:t>
              </w:r>
            </w:hyperlink>
          </w:p>
        </w:tc>
        <w:tc>
          <w:tcPr>
            <w:tcW w:w="600" w:type="dxa"/>
            <w:vAlign w:val="bottom"/>
            <w:gridSpan w:val="2"/>
          </w:tcPr>
          <w:p>
            <w:pPr>
              <w:spacing w:after="0"/>
              <w:rPr>
                <w:sz w:val="24"/>
                <w:szCs w:val="24"/>
                <w:color w:val="auto"/>
              </w:rPr>
            </w:pPr>
          </w:p>
        </w:tc>
        <w:tc>
          <w:tcPr>
            <w:tcW w:w="8820" w:type="dxa"/>
            <w:vAlign w:val="bottom"/>
            <w:gridSpan w:val="21"/>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Mine Safety Disclosures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7060" w:type="dxa"/>
            <w:vAlign w:val="bottom"/>
            <w:gridSpan w:val="1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640" w:type="dxa"/>
            <w:vAlign w:val="bottom"/>
            <w:gridSpan w:val="2"/>
          </w:tcPr>
          <w:p>
            <w:pPr>
              <w:spacing w:after="0"/>
              <w:rPr>
                <w:rFonts w:ascii="Times New Roman" w:cs="Times New Roman" w:eastAsia="Times New Roman" w:hAnsi="Times New Roman"/>
                <w:sz w:val="18"/>
                <w:szCs w:val="18"/>
                <w:color w:val="0000EE"/>
                <w:w w:val="96"/>
              </w:rPr>
            </w:pPr>
            <w:hyperlink w:anchor="page25">
              <w:r>
                <w:rPr>
                  <w:rFonts w:ascii="Times New Roman" w:cs="Times New Roman" w:eastAsia="Times New Roman" w:hAnsi="Times New Roman"/>
                  <w:sz w:val="18"/>
                  <w:szCs w:val="18"/>
                  <w:color w:val="0000EE"/>
                  <w:w w:val="96"/>
                </w:rPr>
                <w:t>ITEM 5.</w:t>
              </w:r>
            </w:hyperlink>
          </w:p>
        </w:tc>
        <w:tc>
          <w:tcPr>
            <w:tcW w:w="600" w:type="dxa"/>
            <w:vAlign w:val="bottom"/>
            <w:gridSpan w:val="2"/>
          </w:tcPr>
          <w:p>
            <w:pPr>
              <w:spacing w:after="0"/>
              <w:rPr>
                <w:sz w:val="24"/>
                <w:szCs w:val="24"/>
                <w:color w:val="auto"/>
              </w:rPr>
            </w:pPr>
          </w:p>
        </w:tc>
        <w:tc>
          <w:tcPr>
            <w:tcW w:w="8820" w:type="dxa"/>
            <w:vAlign w:val="bottom"/>
            <w:gridSpan w:val="21"/>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Other Information</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7500" w:type="dxa"/>
            <w:vAlign w:val="bottom"/>
            <w:gridSpan w:val="1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640" w:type="dxa"/>
            <w:vAlign w:val="bottom"/>
            <w:gridSpan w:val="2"/>
          </w:tcPr>
          <w:p>
            <w:pPr>
              <w:spacing w:after="0"/>
              <w:rPr>
                <w:rFonts w:ascii="Times New Roman" w:cs="Times New Roman" w:eastAsia="Times New Roman" w:hAnsi="Times New Roman"/>
                <w:sz w:val="18"/>
                <w:szCs w:val="18"/>
                <w:color w:val="0000EE"/>
                <w:w w:val="96"/>
              </w:rPr>
            </w:pPr>
            <w:hyperlink w:anchor="page26">
              <w:r>
                <w:rPr>
                  <w:rFonts w:ascii="Times New Roman" w:cs="Times New Roman" w:eastAsia="Times New Roman" w:hAnsi="Times New Roman"/>
                  <w:sz w:val="18"/>
                  <w:szCs w:val="18"/>
                  <w:color w:val="0000EE"/>
                  <w:w w:val="96"/>
                </w:rPr>
                <w:t>ITEM 6.</w:t>
              </w:r>
            </w:hyperlink>
          </w:p>
        </w:tc>
        <w:tc>
          <w:tcPr>
            <w:tcW w:w="600" w:type="dxa"/>
            <w:vAlign w:val="bottom"/>
            <w:gridSpan w:val="2"/>
          </w:tcPr>
          <w:p>
            <w:pPr>
              <w:spacing w:after="0"/>
              <w:rPr>
                <w:sz w:val="24"/>
                <w:szCs w:val="24"/>
                <w:color w:val="auto"/>
              </w:rPr>
            </w:pPr>
          </w:p>
        </w:tc>
        <w:tc>
          <w:tcPr>
            <w:tcW w:w="8820" w:type="dxa"/>
            <w:vAlign w:val="bottom"/>
            <w:gridSpan w:val="21"/>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Exhibits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80" w:type="dxa"/>
            <w:vAlign w:val="bottom"/>
            <w:gridSpan w:val="5"/>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SIGNATURES</w:t>
              </w:r>
            </w:hyperlink>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80" w:type="dxa"/>
            <w:vAlign w:val="bottom"/>
            <w:gridSpan w:val="4"/>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400" w:type="dxa"/>
            <w:vAlign w:val="bottom"/>
          </w:tcPr>
          <w:p>
            <w:pPr>
              <w:jc w:val="center"/>
              <w:ind w:left="239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7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 (unaudited)</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0" w:type="dxa"/>
            <w:vAlign w:val="bottom"/>
          </w:tcPr>
          <w:p>
            <w:pPr>
              <w:jc w:val="center"/>
              <w:ind w:left="2390"/>
              <w:spacing w:after="0"/>
              <w:rPr>
                <w:sz w:val="20"/>
                <w:szCs w:val="20"/>
                <w:color w:val="auto"/>
              </w:rPr>
            </w:pPr>
            <w:r>
              <w:rPr>
                <w:rFonts w:ascii="Times New Roman" w:cs="Times New Roman" w:eastAsia="Times New Roman" w:hAnsi="Times New Roman"/>
                <w:sz w:val="18"/>
                <w:szCs w:val="18"/>
                <w:b w:val="1"/>
                <w:bCs w:val="1"/>
                <w:color w:val="auto"/>
                <w:w w:val="99"/>
              </w:rPr>
              <w:t>Mistras Group, Inc. and Subsidiaries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November 30, 2012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May 31,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CCEEFF"/>
            </w:tcBorders>
            <w:shd w:val="clear" w:color="auto" w:fill="CCEEFF"/>
          </w:tcPr>
          <w:p>
            <w:pPr>
              <w:spacing w:after="0"/>
              <w:rPr>
                <w:sz w:val="17"/>
                <w:szCs w:val="17"/>
                <w:color w:val="auto"/>
              </w:rPr>
            </w:pPr>
          </w:p>
        </w:tc>
        <w:tc>
          <w:tcPr>
            <w:tcW w:w="6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7,985</w:t>
            </w:r>
          </w:p>
        </w:tc>
        <w:tc>
          <w:tcPr>
            <w:tcW w:w="3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105,901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11,542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7,650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69,796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58,201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117,326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PREFERRED STOCK AND EQUITY</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7,948</w:t>
            </w:r>
          </w:p>
        </w:tc>
        <w:tc>
          <w:tcPr>
            <w:tcW w:w="3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Current portion of capital lease obligations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6,893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31"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8,937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41,591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4,570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51,717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Obligations under capital leases, net of current portion</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12,763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13,902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23,350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171,671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10,000,000 shares authorized</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$0.01 par value, 200,000,000 shares authorized, 28,161,857 and 28,025,507 shares</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and outstanding as of November 30, 2012 and May 31, 2012, respectively</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191,586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20,780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(3,561)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Mistras Group, Inc. stockholders’ equity</w:t>
            </w:r>
          </w:p>
        </w:tc>
        <w:tc>
          <w:tcPr>
            <w:tcW w:w="2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209,356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193,248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preferred stock and equity</w:t>
            </w:r>
          </w:p>
        </w:tc>
        <w:tc>
          <w:tcPr>
            <w:tcW w:w="2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381,027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329,816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6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November 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November 30,</w:t>
            </w:r>
          </w:p>
        </w:tc>
        <w:tc>
          <w:tcPr>
            <w:tcW w:w="0" w:type="dxa"/>
            <w:vAlign w:val="bottom"/>
          </w:tcPr>
          <w:p>
            <w:pPr>
              <w:spacing w:after="0"/>
              <w:rPr>
                <w:sz w:val="1"/>
                <w:szCs w:val="1"/>
                <w:color w:val="auto"/>
              </w:rPr>
            </w:pPr>
          </w:p>
        </w:tc>
      </w:tr>
      <w:tr>
        <w:trPr>
          <w:trHeight w:val="142"/>
        </w:trPr>
        <w:tc>
          <w:tcPr>
            <w:tcW w:w="48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4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127,731</w:t>
            </w:r>
          </w:p>
        </w:tc>
        <w:tc>
          <w:tcPr>
            <w:tcW w:w="3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103,942</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226,956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186,844</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24,160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18,823</w:t>
            </w:r>
          </w:p>
        </w:tc>
        <w:tc>
          <w:tcPr>
            <w:tcW w:w="0" w:type="dxa"/>
            <w:vAlign w:val="bottom"/>
          </w:tcPr>
          <w:p>
            <w:pPr>
              <w:spacing w:after="0"/>
              <w:rPr>
                <w:sz w:val="1"/>
                <w:szCs w:val="1"/>
                <w:color w:val="auto"/>
              </w:rPr>
            </w:pPr>
          </w:p>
        </w:tc>
      </w:tr>
      <w:tr>
        <w:trPr>
          <w:trHeight w:val="210"/>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137,729</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114,220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251,116</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of revenues:</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87,044</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71,047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157,560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127,934</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products sold</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9,495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7,856</w:t>
            </w: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related to services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6,879</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related to products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0"/>
        </w:trPr>
        <w:tc>
          <w:tcPr>
            <w:tcW w:w="4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95,824</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79,005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175,494</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143,032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23,362</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19,378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46,854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38,759</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engineering</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530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1,047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4,062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2,982</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expense (See Note 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0"/>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16,006</w:t>
            </w: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23,998</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2,121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1,806</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7,124</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noncontrolling interests, net of</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Mistras Group, Inc.</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common share (see Note 4):</w:t>
            </w: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0.33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0.29</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0.48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0.32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0.28</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28,144</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27,786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28,094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27,731</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29,008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28,600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29,036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28,417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20"/>
          </w:cols>
          <w:pgMar w:left="240" w:top="140" w:right="239" w:bottom="144" w:gutter="0" w:footer="0" w:header="0"/>
        </w:sectPr>
      </w:pPr>
    </w:p>
    <w:bookmarkStart w:id="3" w:name="page4"/>
    <w:bookmarkEnd w:id="3"/>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2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November 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November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Comprehensive (income) loss attributable to noncontrolling</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interests</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Comprehensive income attributable to Mistras Group, Inc.</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1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4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Mistras Group,</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Inc.</w:t>
            </w:r>
          </w:p>
        </w:tc>
        <w:tc>
          <w:tcPr>
            <w:tcW w:w="1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1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140" w:type="dxa"/>
            <w:vAlign w:val="bottom"/>
            <w:gridSpan w:val="3"/>
            <w:vMerge w:val="continue"/>
          </w:tcPr>
          <w:p>
            <w:pPr>
              <w:spacing w:after="0"/>
              <w:rPr>
                <w:sz w:val="12"/>
                <w:szCs w:val="12"/>
                <w:color w:val="auto"/>
              </w:rPr>
            </w:pPr>
          </w:p>
        </w:tc>
        <w:tc>
          <w:tcPr>
            <w:tcW w:w="10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5"/>
                <w:szCs w:val="15"/>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Six months ended</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November 30, 2011:</w:t>
            </w: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May 31, 2011</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27,667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180,594</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(14,017)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303</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167,157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167,486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11,184</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of tax</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(1,368)</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2,547</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settlement on vesting of</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stock units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Excess tax benefit from stock</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370</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November 30,</w:t>
            </w: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vMerge w:val="continue"/>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27,916</w:t>
            </w:r>
          </w:p>
        </w:tc>
        <w:tc>
          <w:tcPr>
            <w:tcW w:w="220" w:type="dxa"/>
            <w:vAlign w:val="bottom"/>
            <w:vMerge w:val="restart"/>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184,553</w:t>
            </w:r>
          </w:p>
        </w:tc>
        <w:tc>
          <w:tcPr>
            <w:tcW w:w="160" w:type="dxa"/>
            <w:vAlign w:val="bottom"/>
          </w:tcPr>
          <w:p>
            <w:pPr>
              <w:spacing w:after="0"/>
              <w:rPr>
                <w:sz w:val="15"/>
                <w:szCs w:val="15"/>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(2,833)</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(1,065)</w:t>
            </w: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180,934</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181,184</w:t>
            </w:r>
          </w:p>
        </w:tc>
        <w:tc>
          <w:tcPr>
            <w:tcW w:w="0" w:type="dxa"/>
            <w:vAlign w:val="bottom"/>
          </w:tcPr>
          <w:p>
            <w:pPr>
              <w:spacing w:after="0"/>
              <w:rPr>
                <w:sz w:val="1"/>
                <w:szCs w:val="1"/>
                <w:color w:val="auto"/>
              </w:rPr>
            </w:pPr>
          </w:p>
        </w:tc>
      </w:tr>
      <w:tr>
        <w:trPr>
          <w:trHeight w:val="265"/>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2011</w:t>
            </w:r>
          </w:p>
        </w:tc>
        <w:tc>
          <w:tcPr>
            <w:tcW w:w="920" w:type="dxa"/>
            <w:vAlign w:val="bottom"/>
            <w:vMerge w:val="continue"/>
          </w:tcPr>
          <w:p>
            <w:pPr>
              <w:spacing w:after="0"/>
              <w:rPr>
                <w:sz w:val="23"/>
                <w:szCs w:val="23"/>
                <w:color w:val="auto"/>
              </w:rPr>
            </w:pPr>
          </w:p>
        </w:tc>
        <w:tc>
          <w:tcPr>
            <w:tcW w:w="220" w:type="dxa"/>
            <w:vAlign w:val="bottom"/>
            <w:vMerge w:val="continue"/>
          </w:tcPr>
          <w:p>
            <w:pPr>
              <w:spacing w:after="0"/>
              <w:rPr>
                <w:sz w:val="23"/>
                <w:szCs w:val="23"/>
                <w:color w:val="auto"/>
              </w:rPr>
            </w:pPr>
          </w:p>
        </w:tc>
        <w:tc>
          <w:tcPr>
            <w:tcW w:w="140" w:type="dxa"/>
            <w:vAlign w:val="bottom"/>
            <w:vMerge w:val="continue"/>
          </w:tcPr>
          <w:p>
            <w:pPr>
              <w:spacing w:after="0"/>
              <w:rPr>
                <w:sz w:val="23"/>
                <w:szCs w:val="23"/>
                <w:color w:val="auto"/>
              </w:rPr>
            </w:pPr>
          </w:p>
        </w:tc>
        <w:tc>
          <w:tcPr>
            <w:tcW w:w="780" w:type="dxa"/>
            <w:vAlign w:val="bottom"/>
            <w:vMerge w:val="continue"/>
          </w:tcPr>
          <w:p>
            <w:pPr>
              <w:spacing w:after="0"/>
              <w:rPr>
                <w:sz w:val="23"/>
                <w:szCs w:val="23"/>
                <w:color w:val="auto"/>
              </w:rPr>
            </w:pPr>
          </w:p>
        </w:tc>
        <w:tc>
          <w:tcPr>
            <w:tcW w:w="120" w:type="dxa"/>
            <w:vAlign w:val="bottom"/>
            <w:vMerge w:val="continue"/>
          </w:tcPr>
          <w:p>
            <w:pPr>
              <w:spacing w:after="0"/>
              <w:rPr>
                <w:sz w:val="23"/>
                <w:szCs w:val="23"/>
                <w:color w:val="auto"/>
              </w:rPr>
            </w:pPr>
          </w:p>
        </w:tc>
        <w:tc>
          <w:tcPr>
            <w:tcW w:w="100" w:type="dxa"/>
            <w:vAlign w:val="bottom"/>
            <w:vMerge w:val="continue"/>
          </w:tcPr>
          <w:p>
            <w:pPr>
              <w:spacing w:after="0"/>
              <w:rPr>
                <w:sz w:val="23"/>
                <w:szCs w:val="23"/>
                <w:color w:val="auto"/>
              </w:rPr>
            </w:pPr>
          </w:p>
        </w:tc>
        <w:tc>
          <w:tcPr>
            <w:tcW w:w="120" w:type="dxa"/>
            <w:vAlign w:val="bottom"/>
            <w:vMerge w:val="continue"/>
          </w:tcPr>
          <w:p>
            <w:pPr>
              <w:spacing w:after="0"/>
              <w:rPr>
                <w:sz w:val="23"/>
                <w:szCs w:val="23"/>
                <w:color w:val="auto"/>
              </w:rPr>
            </w:pPr>
          </w:p>
        </w:tc>
        <w:tc>
          <w:tcPr>
            <w:tcW w:w="80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gridSpan w:val="2"/>
            <w:vMerge w:val="continue"/>
          </w:tcPr>
          <w:p>
            <w:pPr>
              <w:spacing w:after="0"/>
              <w:rPr>
                <w:sz w:val="23"/>
                <w:szCs w:val="23"/>
                <w:color w:val="auto"/>
              </w:rPr>
            </w:pPr>
          </w:p>
        </w:tc>
        <w:tc>
          <w:tcPr>
            <w:tcW w:w="1000" w:type="dxa"/>
            <w:vAlign w:val="bottom"/>
            <w:gridSpan w:val="2"/>
            <w:vMerge w:val="continue"/>
          </w:tcPr>
          <w:p>
            <w:pPr>
              <w:spacing w:after="0"/>
              <w:rPr>
                <w:sz w:val="23"/>
                <w:szCs w:val="23"/>
                <w:color w:val="auto"/>
              </w:rPr>
            </w:pPr>
          </w:p>
        </w:tc>
        <w:tc>
          <w:tcPr>
            <w:tcW w:w="200" w:type="dxa"/>
            <w:vAlign w:val="bottom"/>
            <w:vMerge w:val="continue"/>
          </w:tcPr>
          <w:p>
            <w:pPr>
              <w:spacing w:after="0"/>
              <w:rPr>
                <w:sz w:val="23"/>
                <w:szCs w:val="23"/>
                <w:color w:val="auto"/>
              </w:rPr>
            </w:pPr>
          </w:p>
        </w:tc>
        <w:tc>
          <w:tcPr>
            <w:tcW w:w="840" w:type="dxa"/>
            <w:vAlign w:val="bottom"/>
            <w:gridSpan w:val="2"/>
            <w:vMerge w:val="continue"/>
          </w:tcPr>
          <w:p>
            <w:pPr>
              <w:spacing w:after="0"/>
              <w:rPr>
                <w:sz w:val="23"/>
                <w:szCs w:val="23"/>
                <w:color w:val="auto"/>
              </w:rPr>
            </w:pPr>
          </w:p>
        </w:tc>
        <w:tc>
          <w:tcPr>
            <w:tcW w:w="260" w:type="dxa"/>
            <w:vAlign w:val="bottom"/>
            <w:gridSpan w:val="2"/>
            <w:vMerge w:val="continue"/>
          </w:tcPr>
          <w:p>
            <w:pPr>
              <w:spacing w:after="0"/>
              <w:rPr>
                <w:sz w:val="23"/>
                <w:szCs w:val="23"/>
                <w:color w:val="auto"/>
              </w:rPr>
            </w:pPr>
          </w:p>
        </w:tc>
        <w:tc>
          <w:tcPr>
            <w:tcW w:w="980" w:type="dxa"/>
            <w:vAlign w:val="bottom"/>
            <w:gridSpan w:val="2"/>
            <w:vMerge w:val="continue"/>
          </w:tcPr>
          <w:p>
            <w:pPr>
              <w:spacing w:after="0"/>
              <w:rPr>
                <w:sz w:val="23"/>
                <w:szCs w:val="23"/>
                <w:color w:val="auto"/>
              </w:rPr>
            </w:pPr>
          </w:p>
        </w:tc>
        <w:tc>
          <w:tcPr>
            <w:tcW w:w="160" w:type="dxa"/>
            <w:vAlign w:val="bottom"/>
            <w:vMerge w:val="continue"/>
          </w:tcPr>
          <w:p>
            <w:pPr>
              <w:spacing w:after="0"/>
              <w:rPr>
                <w:sz w:val="23"/>
                <w:szCs w:val="23"/>
                <w:color w:val="auto"/>
              </w:rPr>
            </w:pPr>
          </w:p>
        </w:tc>
        <w:tc>
          <w:tcPr>
            <w:tcW w:w="980" w:type="dxa"/>
            <w:vAlign w:val="bottom"/>
            <w:gridSpan w:val="2"/>
            <w:vMerge w:val="continue"/>
          </w:tcPr>
          <w:p>
            <w:pPr>
              <w:spacing w:after="0"/>
              <w:rPr>
                <w:sz w:val="23"/>
                <w:szCs w:val="23"/>
                <w:color w:val="auto"/>
              </w:rPr>
            </w:pPr>
          </w:p>
        </w:tc>
        <w:tc>
          <w:tcPr>
            <w:tcW w:w="200" w:type="dxa"/>
            <w:vAlign w:val="bottom"/>
            <w:vMerge w:val="continue"/>
          </w:tcPr>
          <w:p>
            <w:pPr>
              <w:spacing w:after="0"/>
              <w:rPr>
                <w:sz w:val="23"/>
                <w:szCs w:val="23"/>
                <w:color w:val="auto"/>
              </w:rPr>
            </w:pPr>
          </w:p>
        </w:tc>
        <w:tc>
          <w:tcPr>
            <w:tcW w:w="80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4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Six months ended</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November 30, 2012:</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May 31, 2012</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188,443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7,336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(3,047)</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193,012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193,248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13,444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13,444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13,477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of tax</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(514)</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3,206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settlement on vesting of</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units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(806)</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Excess tax benefit from stock</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compensation</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393</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vMerge w:val="restart"/>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November 30,</w:t>
            </w: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vMerge w:val="continue"/>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28,162</w:t>
            </w:r>
          </w:p>
        </w:tc>
        <w:tc>
          <w:tcPr>
            <w:tcW w:w="220" w:type="dxa"/>
            <w:vAlign w:val="bottom"/>
            <w:vMerge w:val="restart"/>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191,586</w:t>
            </w:r>
          </w:p>
        </w:tc>
        <w:tc>
          <w:tcPr>
            <w:tcW w:w="160" w:type="dxa"/>
            <w:vAlign w:val="bottom"/>
            <w:shd w:val="clear" w:color="auto" w:fill="CCEEFF"/>
          </w:tcPr>
          <w:p>
            <w:pPr>
              <w:spacing w:after="0"/>
              <w:rPr>
                <w:sz w:val="15"/>
                <w:szCs w:val="15"/>
                <w:color w:val="auto"/>
              </w:rPr>
            </w:pP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20,780</w:t>
            </w: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(3,561)</w:t>
            </w:r>
          </w:p>
        </w:tc>
        <w:tc>
          <w:tcPr>
            <w:tcW w:w="2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209,087</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209,356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2012</w:t>
            </w:r>
          </w:p>
        </w:tc>
        <w:tc>
          <w:tcPr>
            <w:tcW w:w="92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ectPr>
          <w:pgSz w:w="11900" w:h="16888" w:orient="portrait"/>
          <w:cols w:equalWidth="0" w:num="1">
            <w:col w:w="11420"/>
          </w:cols>
          <w:pgMar w:left="240" w:top="117"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3"/>
        </w:trPr>
        <w:tc>
          <w:tcPr>
            <w:tcW w:w="7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2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November 30,</w:t>
            </w:r>
          </w:p>
        </w:tc>
      </w:tr>
      <w:tr>
        <w:trPr>
          <w:trHeight w:val="142"/>
        </w:trPr>
        <w:tc>
          <w:tcPr>
            <w:tcW w:w="728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0"/>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7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Mistras Group, Inc.</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13,444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11,184</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12,501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10,224</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3,206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2,547</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loss (gain)</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 of acquisitions of businesses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6,207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(20,392)</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1,460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(922)</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(1,224)</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(1,292)</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1,829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(864)</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(7,628)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w:t>
            </w:r>
          </w:p>
        </w:tc>
      </w:tr>
      <w:tr>
        <w:trPr>
          <w:trHeight w:val="210"/>
        </w:trPr>
        <w:tc>
          <w:tcPr>
            <w:tcW w:w="7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27,396</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tcPr>
          <w:p>
            <w:pPr>
              <w:spacing w:after="0"/>
              <w:rPr>
                <w:sz w:val="18"/>
                <w:szCs w:val="18"/>
                <w:color w:val="auto"/>
              </w:rPr>
            </w:pPr>
          </w:p>
        </w:tc>
      </w:tr>
      <w:tr>
        <w:trPr>
          <w:trHeight w:val="196"/>
        </w:trPr>
        <w:tc>
          <w:tcPr>
            <w:tcW w:w="7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(3,840)</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(27,033)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(10,695)</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restricted cash</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(3,700)</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r>
      <w:tr>
        <w:trPr>
          <w:trHeight w:val="210"/>
        </w:trPr>
        <w:tc>
          <w:tcPr>
            <w:tcW w:w="72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(18,199)</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72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capital lease obligations</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(3,391)</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notes payable and other long-term debt</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(2,819)</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borrowings from current revolver</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12,349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Net borrowings from former revolver</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18,950</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repayments of other short-term borrowings</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(1,868)</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borrowings of long-term debt</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contingent consideration for business acquisitions</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benefit from stock compensation</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1,325</w:t>
            </w:r>
          </w:p>
        </w:tc>
      </w:tr>
      <w:tr>
        <w:trPr>
          <w:trHeight w:val="210"/>
        </w:trPr>
        <w:tc>
          <w:tcPr>
            <w:tcW w:w="72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18"/>
                <w:szCs w:val="18"/>
                <w:color w:val="auto"/>
              </w:rPr>
            </w:pPr>
          </w:p>
        </w:tc>
      </w:tr>
      <w:tr>
        <w:trPr>
          <w:trHeight w:val="210"/>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10,879</w:t>
            </w:r>
          </w:p>
        </w:tc>
      </w:tr>
      <w:tr>
        <w:trPr>
          <w:trHeight w:val="210"/>
        </w:trPr>
        <w:tc>
          <w:tcPr>
            <w:tcW w:w="7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0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5,319</w:t>
            </w:r>
          </w:p>
        </w:tc>
        <w:tc>
          <w:tcPr>
            <w:tcW w:w="100" w:type="dxa"/>
            <w:vAlign w:val="bottom"/>
            <w:tcBorders>
              <w:bottom w:val="single" w:sz="8" w:color="CCEEFF"/>
            </w:tcBorders>
          </w:tcPr>
          <w:p>
            <w:pPr>
              <w:spacing w:after="0"/>
              <w:rPr>
                <w:sz w:val="18"/>
                <w:szCs w:val="18"/>
                <w:color w:val="auto"/>
              </w:rPr>
            </w:pPr>
          </w:p>
        </w:tc>
      </w:tr>
      <w:tr>
        <w:trPr>
          <w:trHeight w:val="196"/>
        </w:trPr>
        <w:tc>
          <w:tcPr>
            <w:tcW w:w="7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paid</w:t>
            </w: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1,361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1,335</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4,673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7,571</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acquired through capital lease obligations</w:t>
            </w:r>
          </w:p>
        </w:tc>
        <w:tc>
          <w:tcPr>
            <w:tcW w:w="1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2,460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6,464</w:t>
            </w:r>
          </w:p>
        </w:tc>
      </w:t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notes payable and other debt obligations primarily related to acquisitions</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7,715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per share data)</w:t>
      </w:r>
    </w:p>
    <w:p>
      <w:pPr>
        <w:spacing w:after="0" w:line="203"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&amp;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Mistras Group, Inc., together with its subsidiaries (the Company), is a leading “one source” global provider of technology-enabled asset protection solutions used to evaluate the structural integrity and reliability of critical energy, industrial and public infrastructure. The Company combines industry-leading products and technologies, expertise in mechanical integrity (MI) and non-destructive testing (NDT)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Given the role the services of the Company play in ensuring the safe and efficient operation of infrastructure, the Company has historically provided a majority of its services to its customers on a regular, recurring basis.</w:t>
      </w:r>
    </w:p>
    <w:p>
      <w:pPr>
        <w:sectPr>
          <w:pgSz w:w="11900" w:h="16838" w:orient="portrait"/>
          <w:cols w:equalWidth="0" w:num="1">
            <w:col w:w="11420"/>
          </w:cols>
          <w:pgMar w:left="240" w:top="331" w:right="239" w:bottom="0" w:gutter="0" w:footer="0" w:header="0"/>
        </w:sectPr>
      </w:pPr>
    </w:p>
    <w:bookmarkStart w:id="5" w:name="page6"/>
    <w:bookmarkEnd w:id="5"/>
    <w:p>
      <w:pPr>
        <w:ind w:right="480"/>
        <w:spacing w:after="0" w:line="266" w:lineRule="auto"/>
        <w:rPr>
          <w:sz w:val="20"/>
          <w:szCs w:val="20"/>
          <w:color w:val="auto"/>
        </w:rPr>
      </w:pPr>
      <w:r>
        <w:rPr>
          <w:rFonts w:ascii="Times New Roman" w:cs="Times New Roman" w:eastAsia="Times New Roman" w:hAnsi="Times New Roman"/>
          <w:sz w:val="18"/>
          <w:szCs w:val="18"/>
          <w:color w:val="auto"/>
        </w:rPr>
        <w:t>The Company serves a global customer base of companies with asset-intensive infrastructure, including companies in the oil and gas, fossil and nuclear power, alternative and renewable energy, public infrastructure, chemicals, aerospace and defense, transportation, primary metals and metalworking, pharmaceuticals and food processing industries.</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(GAAP) for interim financial information. Accordingly, they do not include all of the information and footnotes required by GAAP for complete financial statements. In the opinion of management, all adjustments (consisting of normal recurring accruals) considered necessary for a fair statement have been included. Operating results for the three and six months ended November 30, 2012 are not necessarily indicative of the results that may be expected for the year ending May 31, 2013. The balance sheet at May 31, 2012 has been derived from the audited financial statements at that date but does not include all of the information and footnotes required by GAAP for complete financial statements. You should read these unaudited consolidated financial statements together with the historical consolidated financial statements of the Company as filed with the Securities and Exchange Commission.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Mistras Group, Inc. and its wholly or majority-owned subsidiaries. Where the Company’s ownership interest is less than 100%, the noncontrolling interests are reported in stockholders’ equity in the accompanying consolidated balance sheets. The noncontrolling interest in net income, net of tax, is classified separately in the accompanying consolidated statements of operations.</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All significant intercompany accounts and transactions have been eliminated in consolidation. Mistras Group, Inc.’s and its subsidiaries’ fiscal years end on May 31 except for the companies in the International segment, which end on April 30. The effect of this difference in timing of reporting foreign operations on the consolidated results of operations and consolidated financial position is not significant.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5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recognition policies for the various sources of revenues are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predominantly derives revenues by providing its services on a time and material basis and recognizes revenues when services are rendered. At the end of any reporting period, there may be earned but unbilled revenues that are accrued. Payments received in advance of revenue recognition are reflected as deferred revenues.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per share data)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w:t>
      </w:r>
    </w:p>
    <w:p>
      <w:pPr>
        <w:spacing w:after="0" w:line="22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Revenues from the sale of perpetual licenses are recognized upon the delivery and acceptance of the software. Revenues from term licenses are recognized ratably over the period of the license. Revenues from maintenance, unspecified upgrades and technical support are recognized ratably over the period such items are delivered. For multiple-element arrangement software contracts that include non-software elements, and where the software is essential to the functionality of the non-software elements (collectively referred to as software multiple-element arrangements), the Company applies the rules as noted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Products</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Revenues from product sales are recognized when risk of loss and title passes to the customer. The exceptions to this accounting treatment would be for multiple-element arrangements (described below) or those situations where specialized installation or customer acceptance is required. Payments received in advance of revenue recognition are reflected as deferred revenues.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Percentage of Completion</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portion of the Company’s revenues are generated from engineering and manufacturing of custom products under long-term contracts that may last from several months to several years, depending on the contract. Revenues from long-term contracts are recognized on the percentage-of-completion method of accounting. Under the percentage-of-completion method of accounting revenues are recognized as work is performed. The percentage of completion at any point in time is based on total costs or total labor dollars incurred to date in relation to the total estimated costs or total labor dollars estimated at completion. The percentage of completion is then applied to the total contract revenue to determine the amount of revenue to be recognized in the period. Application of the percentage-of-completion method of accounting requires the use of estimates of costs to be incurred for the performance of the contract. Contract costs include all direct materials, direct labor costs and those indirect costs related to contract performance, such as indirect labor, supplies, tools, repairs, and all costs associated with operation of equipment. The cost estimation process is based upon the professional knowledge and experience of the Company’s engineers, project managers and financial professionals. Factors that are considered in estimating the work to be completed include the availability and productivity of labor, the nature and complexity of the work to be performed, the effect of change orders, the availability of materials, the effect of any delays in project performance and the recoverability of any claims. Whenever revisions of estimated contract costs and contract values indicate that the contract costs will exceed estimated revenues, thus creating a loss, a provision for the total estimated loss is recorded in that period.</w:t>
      </w:r>
    </w:p>
    <w:p>
      <w:pPr>
        <w:sectPr>
          <w:pgSz w:w="11900" w:h="16838" w:orient="portrait"/>
          <w:cols w:equalWidth="0" w:num="1">
            <w:col w:w="11420"/>
          </w:cols>
          <w:pgMar w:left="240" w:top="121" w:right="239" w:bottom="0" w:gutter="0" w:footer="0" w:header="0"/>
        </w:sectPr>
      </w:pPr>
    </w:p>
    <w:bookmarkStart w:id="6" w:name="page7"/>
    <w:bookmarkEnd w:id="6"/>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Multiple-element Arrangements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occasionally enters into transactions that represent multiple-element arrangements, which may include any combination of services, software, and hardware. When a sales arrangement contains multiple elements, such as hardware and services and/or software products, the Company allocates revenue to each element based on a selling price hierarchy. The selling price for a deliverable is based on its vendor specific objective evidence (VSOE) if available, third party evidence (TPE) if VSOE is not available, or estimated selling price (ESP) if neither VSOE nor TPE is available. The Company has historically utilized the VSOE due to the nature of its products. In software multiple element arrangements where more-than-incidental software deliverables are included, revenue is allocated to each separate unit of accounting for each of the non-software deliverables and to the software deliverables as a group using the relative selling prices of each of the deliverables in the arrangement based on the aforementioned selling price hierarchy.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of America requires management to make estimates and assumptions that affect the amounts reported in the accompanying consolidated financial statements. The more significant estimates include valuation of goodwill and intangible assets, useful lives of long-lived assets, allowances for doubtful accounts, inventory valuation, reserves for self-insured workers compensation and health benefits, contingent consideration liabilities, and provision for income taxes. Actual results could differ from those estimates.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net assets of the acquired business at the date of acquisition. The Company tests for impairment annually, in its fiscal fourth quarter. The most recent annual test for impairment performed for fiscal 2012 did not identify any instances of impairment and there were no events through November 30, 2012 that warranted a reconsideration of the impairment test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are recorded at cost. Intangible assets with finite lives are amortized on a straight-line basis over their estimated useful lives.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and accounts receivable. At times, cash deposits may exceed the limits insured by the Federal Deposit Insurance Corporation. The Company believes it is not exposed to any significant credit risk or risk of nonperformance of financial institutions.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sells primarily to large companies, extends reasonably short collection terms, performs credit evaluations and does not require collateral. The Company maintains reserves for potential credit losses.</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has one customer, BP plc. (BP), which accounted for 10% and 17% of revenues for the three months ended November 30, 2012 and 2011, respectively, and 11% and 16% of revenues for the six months ended November 30, 2012 and 2011, respectively. Accounts receivable from this customer were approximately 9% of total accounts receivable, net as of November 30, 2012 and May 31, 2012. The relationship with BP is comprised of separate contracts for non-destructive testing and inspection services with multiple affiliated entities within the broad BP organization. The Company conducts business with various divisions or affiliates of the BP organization through numerous contracts covering many segments of BP’s business including downstream (refinery), midstream (pipelines) and upstream (exploration). These contracts are typically negotiated locally with the specific BP division or affiliate, are of varying lengths, have different start and end dates and differ in terms of the scope of work and nature of services provided. Most contracts are based on time and materials.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Company measures the cost of employee services received in exchange for an award of equity instruments based upon the grant-date fair value of the award. The Company uses the “straight-line” attribution method for allocating compensation costs and recognizes the fair value of each equity award on a straight-line basis over the vesting period of the related awards.</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uses the Black-Scholes option-pricing model to estimate the fair value of the stock option awards as of the grant date. The Black-Scholes model, by its design, is highly complex and dependent upon key data inputs estimated by management. The primary data inputs with the greatest degree of judgment are the expected term of stock option awards and the estimated volatility of the Company’s common stock price. The Black-Scholes model is sensitive to changes in these two variables. Since the Company’s initial public offering (IPO), the expected term of the Company’s stock options is generally determined using the mid-point between the vesting period and the end of the contractual term. Expected stock price volatility is typically based on the daily historical trading data for a period equal to the expected term. Because the Company’s historical trading data only dates back to October 8, 2009, the first trading date after its IPO, the Company has estimated expected volatility using an analysis of the stock price volatility of comparable peer companies. Prior to the Company’s IPO, the exercise price equaled the estimated fair market value of the Company’s common stock, as determined by its board of directors. Since the Company’s IPO, the exercise price of stock option grants is determined using the closing market price of the Company’s common stock on the date of grant.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t>In July 2012, the FASB issued ASU 2012-02, Intangibles — Goodwill and Other (Topic 350): Testing Indefinite-Lived Intangible Assets for Impairment, that is intended to reduce the cost and complexity of the impairment test for indefinite-lived intangible assets by providing an entity with the option to first assess qualitatively whether it is necessary to perform the quantitative impairment test that is currently in place. An entity would not be required to quantitatively</w:t>
      </w:r>
    </w:p>
    <w:p>
      <w:pPr>
        <w:sectPr>
          <w:pgSz w:w="11900" w:h="16869" w:orient="portrait"/>
          <w:cols w:equalWidth="0" w:num="1">
            <w:col w:w="11400"/>
          </w:cols>
          <w:pgMar w:left="240" w:top="335" w:right="259" w:bottom="0" w:gutter="0" w:footer="0" w:header="0"/>
        </w:sectPr>
      </w:pPr>
    </w:p>
    <w:bookmarkStart w:id="7" w:name="page8"/>
    <w:bookmarkEnd w:id="7"/>
    <w:p>
      <w:pPr>
        <w:ind w:right="560"/>
        <w:spacing w:after="0" w:line="282" w:lineRule="auto"/>
        <w:rPr>
          <w:sz w:val="20"/>
          <w:szCs w:val="20"/>
          <w:color w:val="auto"/>
        </w:rPr>
      </w:pPr>
      <w:r>
        <w:rPr>
          <w:rFonts w:ascii="Times New Roman" w:cs="Times New Roman" w:eastAsia="Times New Roman" w:hAnsi="Times New Roman"/>
          <w:sz w:val="18"/>
          <w:szCs w:val="18"/>
          <w:color w:val="auto"/>
        </w:rPr>
        <w:t>calculate the fair value of an indefinite-lived intangible asset unless the entity determines that it is more likely than not that its fair value is less than its carrying amount. ASU 2012-02 is effective for annual and interim impairment tests beginning after September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per share data)</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15, 2012. Early adoption is permitted. The Company does not expect that the adoption of this pronouncement will have a material impact on the Company’s consolidated financial statements.</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June 2011, the FASB issued ASU 2011-05, Comprehensive Income (Topic 220): Presentation of Comprehensive Income. ASU 2011-05 allows an entity to present the total of comprehensive income, the components of net income, and the components of other comprehensive income either in a single continuous statement of comprehensive income or in two separate but consecutive statements. This authoritative guidance eliminates the option to present the components of other comprehensive income as part of the statement of equity. ASU 2011-05 does not change the items that must be reported in other comprehensive income, when an item of other comprehensive income must be reclassified to net income, or the Company’s option to present components of other comprehensive income either net of related tax effects or before related tax effects, nor does it affect how earnings per share is calculated or presented. Effective June 1, 2012, the Company adopted the provisions of this updated accounting standard related to comprehensive income. The adoption of this pronouncement did not have a material impact on the Company’s consolidated financial statements.</w:t>
      </w:r>
    </w:p>
    <w:p>
      <w:pPr>
        <w:spacing w:after="0" w:line="18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Dividends on common stock will be paid when, and if, declared by the board of directors. Each holder of common stock is entitled to vote on all matters and is entitled to one vote for each share held.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September 2009, the Company’s board of directors and shareholders adopted and approved the 2009 Long-Term Incentive Plan (the 2009 Plan), which became effective upon the closing of the IPO. Awards may be in the form of stock options, restricted stock units and other forms of stock-based incentives, including stock appreciation rights and deferred stock rights. The term of each incentive and non-qualified stock option is ten years. Vesting generally occurs over a period of four years, the expense for which is recorded on a straight-line basis over the requisite service period. The 2009 Plan allows for the grant of awards of up to approximately 2,286,000 shares of common stock, of which 1,440,000 shares were available for future grants as of November 30, 2012. Prior to the Company’s IPO in October 2009, the Company had two stock option plans: (i) the 1995 Incentive Stock Option and Restricted Stock Purchase Plan (the 1995 Plan), and (ii) the 2007 Stock Option Plan (the 2007 Plan). No additional awards may be granted from these two plans. As of November 30, 2012, there was an aggregate of approximately 2,504,000 stock options outstanding and approximately 566,000 unvested restricted stock units outstanding under the 2009 Plan, the 2007 Plan, and the 1995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stock options were granted during the three or six month periods ended November 30, 2012 or 2011.</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stock option awards of approximately $0.8 million and $0.9 million for the three months ended November 30, 2012 and 2011. For the six months ended November 30, 2012 and 2011, the Company recognized stock-based compensation expense related to stock options of $1.6 million and $1.7 million, respectively. As of November 30, 2012, there was approximately $2.2 million of unrecognized compensation costs, net of estimated forfeitures, related to stock option awards, which are expected to be recognized over a remaining weighted average period of approximately 0.7 years. Cash proceeds from and the aggregate intrinsic value of stock options exercised during the three and six months ended November 30, 2012 and 2011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November 30,</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November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42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proceeds from options exercised</w:t>
            </w:r>
          </w:p>
        </w:tc>
        <w:tc>
          <w:tcPr>
            <w:tcW w:w="1800" w:type="dxa"/>
            <w:vAlign w:val="bottom"/>
            <w:gridSpan w:val="2"/>
            <w:shd w:val="clear" w:color="auto" w:fill="CCEEFF"/>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252</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1,268</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Aggregate intrinsic value of options exercised</w:t>
            </w:r>
          </w:p>
        </w:tc>
        <w:tc>
          <w:tcPr>
            <w:tcW w:w="180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359</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3,026</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also recognized approximately $0.8 million and $0.5 million during the three months ended November 30, 2012 and 2011, respectively, in stock-based compensation expense related to restricted stock unit awards. For the six months ended November 30, 2012 and 2011, the Company recognized stock-based compensation expense related to restricted stock unit awards of $1.4 million and $0.7 million, respectively. As of November 30, 2012, there was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per share data)</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approximately $9.5 million of unrecognized compensation costs, net of estimated forfeitures, related to restricted stock unit awards, which are expected to be recognized over a remaining weighted average period of 3.0 years.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June 2012, the Company granted approximately 13,000 shares of fully-vested common stock to its five non-employee directors, in connection with its non-employee director compensation plan. These shares had a grant date fair value of approximately $0.3 million, which was recorded as stock-based</w:t>
      </w:r>
    </w:p>
    <w:p>
      <w:pPr>
        <w:sectPr>
          <w:pgSz w:w="11900" w:h="16838" w:orient="portrait"/>
          <w:cols w:equalWidth="0" w:num="1">
            <w:col w:w="11420"/>
          </w:cols>
          <w:pgMar w:left="240" w:top="121" w:right="239" w:bottom="0" w:gutter="0" w:footer="0" w:header="0"/>
        </w:sectPr>
      </w:pPr>
    </w:p>
    <w:bookmarkStart w:id="8" w:name="page9"/>
    <w:bookmarkEnd w:id="8"/>
    <w:p>
      <w:pPr>
        <w:spacing w:after="0" w:line="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compensation expense during the six months ended November 30, 2012. In October 2011, the Company granted approximately 9,000 shares of fully-vested common stock to its five non-employee directors, in connection with its non-employee director compensation plan. These shares had a grant date fair value of approximately $0.2 million, which was recorded as stock-based compensation expense during the three and six months ended November 30, 2011.</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During the six months ended November 30, 2012 and 2011, approximately 123,000 and 52,000 restricted stock units vested, respectively. The fair value of these units was $1.9 million and $0.5 million, respectively. Upon vesting, restricted stock units are generally net share-settled to cover the required withholding tax and the remaining amount is converted into an equivalent number of shares of common stock. The restricted stock units that vested in the first six months of fiscal 2013 and 2012 were net-share settled such that the Company withheld shares with value equivalent to the employees’ minimum statutory obligation for the applicable income and other employment taxes, and remitted the cash to the appropriate taxing authorities. The Company withheld approximately 37,000 and 16,000 shares in the first six months of fiscal 2013 and 2012, respectively. The shares withheld were based on the value of the restricted stock units on their vesting date as determined by the Company’s closing stock price. Total payments for the employees’ tax obligations to the taxing authorities were $0.8 million and $0.3 million and are reflected as a financing activity within the consolidated statements of cash flows for the six months ended November 30, 2012 and 2011, respectively. These net-share settlements had the effect of share repurchases by the Company as they reduced and retired the number of shares that would have otherwise been issued as a result of the vesting and did not represent an expense to the Company.</w:t>
      </w:r>
    </w:p>
    <w:p>
      <w:pPr>
        <w:spacing w:after="0" w:line="182"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w:t>
      </w:r>
    </w:p>
    <w:p>
      <w:pPr>
        <w:ind w:right="200" w:firstLine="8"/>
        <w:spacing w:after="0" w:line="255"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dilutive effect of assumed conversion of equity awards using the treasury stock method. With respect to the number of weighted-average shares outstanding (denominator), diluted shares reflects: (i) only the exercise of options to acquire common stock to the extent that the options’ exercise prices are less than the average market price of common shares during the period and (ii) the pro forma vesting of restricted stock units.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earnings per share: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November 30,</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November 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attributable to Mistras Group, Inc.</w:t>
            </w:r>
          </w:p>
        </w:tc>
        <w:tc>
          <w:tcPr>
            <w:tcW w:w="84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7,956</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13,444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28,144</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27,786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28,094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5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3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attributable to Mistras Group, Inc.</w:t>
            </w:r>
          </w:p>
        </w:tc>
        <w:tc>
          <w:tcPr>
            <w:tcW w:w="8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3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7,956</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13,444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28,144</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27,786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28,094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Dilutive effect of stock options outstanding</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789</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Dilutive effect of restricted stock units outstanding</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29,008</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580" w:type="dxa"/>
            <w:vAlign w:val="bottom"/>
          </w:tcPr>
          <w:p>
            <w:pPr>
              <w:spacing w:after="0"/>
              <w:rPr>
                <w:sz w:val="18"/>
                <w:szCs w:val="18"/>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3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40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per share data)</w:t>
      </w:r>
    </w:p>
    <w:p>
      <w:pPr>
        <w:spacing w:after="0" w:line="203" w:lineRule="exact"/>
        <w:rPr>
          <w:sz w:val="20"/>
          <w:szCs w:val="20"/>
          <w:color w:val="auto"/>
        </w:rPr>
      </w:pPr>
    </w:p>
    <w:p>
      <w:pPr>
        <w:ind w:left="720" w:hanging="712"/>
        <w:spacing w:after="0"/>
        <w:tabs>
          <w:tab w:leader="none" w:pos="7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September 2012, the Company completed an acquisition of an asset protection company in Germany specializing in destructive and non-destructive services and inspection. The company was acquired to complement the service offerings within the International segment and to expand Mistras’ footprint in Europe. The Company acquired 100% of the common stock of the acquiree in exchange for approximately $28.3 million in cash (excluding cash acquired) and $7.7 million in notes payable over three years. In addition to the cash and debt consideration related to this acquisition, the Company accrued a liability of approximately $7.5 million as of November 30, 2012, which represents the estimated fair value of contingent consideration expected to be payable in the event that the acquired company achieves specific performance metrics over the next five years of operations. The total potential contingent consideration for this acquisition ranges from zero to $12.9 million as of November 30, 2012.</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assets and liabilities of the acquired business were included in the consolidated balance sheet as of November 30, 2012 based on their estimated fair value on the date of acquisition as determined in a purchase price allocation, using available information and making assumptions management believes are reasonable. The Company is still in the process of completing its valuation of the assets acquired, both tangible and intangible, and liabilities assumed, as well as the contingent consideration and deferred tax assets/liabilities. This valuation and the related purchase price allocation is expected to be finalized prior to the end of the Company’s third quarter of fiscal 2013. The results of operations for this acquisition are included in the International segment’s results of operations from the date of acquisition. The Company’s preliminary allocation of purchase price for this acquisition is included in the table below. The following table summarizes the estimated fair value of the assets acquired and liabilities assumed at the date of acquisition for the Company’s fiscal 2013 acquisitions: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entities</w:t>
            </w:r>
          </w:p>
        </w:tc>
        <w:tc>
          <w:tcPr>
            <w:tcW w:w="4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3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w:t>
            </w:r>
          </w:p>
        </w:tc>
        <w:tc>
          <w:tcPr>
            <w:tcW w:w="4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28,289</w:t>
            </w:r>
          </w:p>
        </w:tc>
      </w:tr>
    </w:tbl>
    <w:p>
      <w:pPr>
        <w:sectPr>
          <w:pgSz w:w="11900" w:h="16843" w:orient="portrait"/>
          <w:cols w:equalWidth="0" w:num="1">
            <w:col w:w="11460"/>
          </w:cols>
          <w:pgMar w:left="240" w:top="121" w:right="199" w:bottom="0" w:gutter="0" w:footer="0" w:header="0"/>
        </w:sectPr>
      </w:pPr>
    </w:p>
    <w:bookmarkStart w:id="9" w:name="page10"/>
    <w:bookmarkEnd w:id="9"/>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Subordinated notes issued</w:t>
            </w:r>
          </w:p>
        </w:tc>
        <w:tc>
          <w:tcPr>
            <w:tcW w:w="2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33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liabilities assumed, net</w:t>
            </w:r>
          </w:p>
        </w:tc>
        <w:tc>
          <w:tcPr>
            <w:tcW w:w="33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Debt and other long-term liabilities</w:t>
            </w:r>
          </w:p>
        </w:tc>
        <w:tc>
          <w:tcPr>
            <w:tcW w:w="2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tax liability</w:t>
            </w:r>
          </w:p>
        </w:tc>
        <w:tc>
          <w:tcPr>
            <w:tcW w:w="2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Intangibles, primarily customer relationships</w:t>
            </w:r>
          </w:p>
        </w:tc>
        <w:tc>
          <w:tcPr>
            <w:tcW w:w="2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2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29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amortization period of intangible assets acquired ranges from two to twelve years. The Company has preliminarily recorded approximately $20.8 million of goodwill in connection with its fiscal 2013 acquisition, reflecting the strategic fit and revenue and earnings growth potential of these businesses. Substantially all of the goodwill recognized is expected to be deductible for tax purposes.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also has four acquisitions that were completed in fiscal 2012 for which it is still in the process of completing the allocation of the consideration transferred, including the valuation of the intangible assets acquired. These valuations and related purchase price allocations are expected to be finalized prior to the end of the Company’s third quarter of fiscal 2013. The following table summarizes the estimated fair value of the assets acquired and liabilities assumed at the date of acquisition for the Company’s fiscal 2012 acquisitions that have not yet been finalized: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20" w:type="dxa"/>
            <w:vAlign w:val="bottom"/>
            <w:gridSpan w:val="3"/>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6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54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Mistras Group, Inc. and Subsidiaries</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4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54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(tabular dollars in thousands, except per share data)</w:t>
            </w: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entities</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9,171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Subordinated notes issued</w:t>
            </w: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11,272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5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assets acquired, net</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Debt and other long-term liabilities</w:t>
            </w:r>
          </w:p>
        </w:tc>
        <w:tc>
          <w:tcPr>
            <w:tcW w:w="4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4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Intangibles, primarily customer relationships</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3,446</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6,161</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9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during fiscal 2013 to the initial purchase price allocations for which the final purchase price allocation is not yet complete.</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Revenues for the acquisition completed in fiscal 2013 for the period subsequent to the closing of the transaction were approximately $6.4 million for both of the three and six months ended November 30, 2012. Income from operations for this acquisition for the period subsequent to the closing of the transaction was approximately $0.6 million for both of the three and six months ended November 30, 2012.</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unaudited pro forma information for the periods set forth below gives effect to the fiscal 2013 and fiscal 2012 acquisitions as if they had occurred at the beginning of the earliest period presented. The pro forma information is presented for informational purposes only and is not necessarily indicative of the results of operations that actually would have been achieved had the acquisition been consummated as of that time (unaudited,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November 30,</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November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156,289</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143,429</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281,241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264,715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16,939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12,784</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24,631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16,941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the three and six month periods ended November 30, 2012, the Company incurred costs of $0.2 million and $0.9 million, respectively, in connection with due diligence, professional fees, and other expenses for its acquisition activity. Additionally, the Company adjusted the fair value of certain acquisition-related contingent consideration liabilities. For the three month and six month periods ended November 30, 2012, the adjustments resulted in a net decrease of approximately $0.4 million and $1.2 million, respectively, to the Company’s acquisition-related contingent consideration liabilities, which were approximately $18.4 million as of November 30, 2012 and recorded on the balance sheet in accrued expenses and other long-term liabilities. These adjustments also resulted in a corresponding net increase to income from operations of approximately $0.4 million and $1.2 million for the three and six month periods ended November 30, 2012, respectively. Both the fair value adjustments to acquisition-related contingent consideration liabilities and the acquisition-related costs have been classified as acquisition-related expense in the statement of operations for the three and six months ended November 30, 2012.</w:t>
      </w:r>
    </w:p>
    <w:p>
      <w:pPr>
        <w:sectPr>
          <w:pgSz w:w="11900" w:h="16838" w:orient="portrait"/>
          <w:cols w:equalWidth="0" w:num="1">
            <w:col w:w="11420"/>
          </w:cols>
          <w:pgMar w:left="240" w:top="121" w:right="239" w:bottom="0" w:gutter="0" w:footer="0" w:header="0"/>
        </w:sectPr>
      </w:pPr>
    </w:p>
    <w:bookmarkStart w:id="10" w:name="page11"/>
    <w:bookmarkEnd w:id="10"/>
    <w:p>
      <w:pPr>
        <w:spacing w:after="0" w:line="4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three and six month periods ended November 30, 2011, the Company adjusted the fair value of certain acquisition-related contingent consideration liabilities. The adjustments resulted in a net decrease of $0.7 million to the Company’s acquisition-related contingent consideration liabilities, which were approximately $4.8 million as of November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per share data)</w:t>
      </w:r>
    </w:p>
    <w:p>
      <w:pPr>
        <w:spacing w:after="0" w:line="20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30, 2011 and recorded on the balance sheet in accrued expenses and other long-term liabilities. These adjustments also resulted in a corresponding net increase to income from operations of $0.7 million. Additionally, the Company incurred costs of $0.4 million in connection with due diligence, professional fees, and other expenses for its fiscal 2012 acquisition activity. Both the fair value adjustments to acquisition-related contingent consideration liabilities and the acquisition-related costs have been classified as acquisition-related expense in the statement of operations for the three and six months ended November 30, 2011.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47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receivable consist of the following:</w:t>
            </w: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November 30, 2012</w:t>
            </w:r>
          </w:p>
        </w:tc>
        <w:tc>
          <w:tcPr>
            <w:tcW w:w="220" w:type="dxa"/>
            <w:vAlign w:val="bottom"/>
          </w:tcPr>
          <w:p>
            <w:pPr>
              <w:spacing w:after="0"/>
              <w:rPr>
                <w:sz w:val="24"/>
                <w:szCs w:val="24"/>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May 31, 2012</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108,332</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106,821</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(2,431)</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(2,306)</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 net</w:t>
            </w:r>
          </w:p>
        </w:tc>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November 30, 2012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May 31, 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3,237</w:t>
            </w:r>
          </w:p>
        </w:tc>
        <w:tc>
          <w:tcPr>
            <w:tcW w:w="3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3,615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w w:val="96"/>
              </w:rPr>
              <w:t>Supplies</w:t>
            </w:r>
          </w:p>
        </w:tc>
        <w:tc>
          <w:tcPr>
            <w:tcW w:w="4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458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Inventories are net of reserves for slow-moving and obsolete inventory of approximately $1.4 million and $1.2 million as of November 30, 2012 and May 31, 2012,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62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November 30, 2012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May 31, 2012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2,097</w:t>
            </w:r>
          </w:p>
        </w:tc>
        <w:tc>
          <w:tcPr>
            <w:tcW w:w="3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30-40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21,633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114,146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145,336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(75,540)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(67,171)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November 30, 2012 and 2011 was approximately $4.6 million and $3.9 million, respectively. Depreciation expense for the six months ended November 30, 2012 and 2011 was approximately $9.0 million and $7.5 million, respectively.</w:t>
      </w:r>
    </w:p>
    <w:p>
      <w:pPr>
        <w:spacing w:after="0" w:line="158"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per share data)</w:t>
      </w:r>
    </w:p>
    <w:p>
      <w:pPr>
        <w:sectPr>
          <w:pgSz w:w="11900" w:h="16885" w:orient="portrait"/>
          <w:cols w:equalWidth="0" w:num="1">
            <w:col w:w="11420"/>
          </w:cols>
          <w:pgMar w:left="240" w:top="121" w:right="239" w:bottom="0" w:gutter="0" w:footer="0" w:header="0"/>
        </w:sectPr>
      </w:pPr>
    </w:p>
    <w:p>
      <w:pPr>
        <w:spacing w:after="0" w:line="200" w:lineRule="exact"/>
        <w:rPr>
          <w:sz w:val="20"/>
          <w:szCs w:val="20"/>
          <w:color w:val="auto"/>
        </w:rPr>
      </w:pPr>
    </w:p>
    <w:p>
      <w:pPr>
        <w:ind w:left="8060"/>
        <w:spacing w:after="0"/>
        <w:tabs>
          <w:tab w:leader="none" w:pos="10100" w:val="left"/>
        </w:tabs>
        <w:rPr>
          <w:sz w:val="20"/>
          <w:szCs w:val="20"/>
          <w:color w:val="auto"/>
        </w:rPr>
      </w:pPr>
      <w:r>
        <w:rPr>
          <w:rFonts w:ascii="Times New Roman" w:cs="Times New Roman" w:eastAsia="Times New Roman" w:hAnsi="Times New Roman"/>
          <w:sz w:val="14"/>
          <w:szCs w:val="14"/>
          <w:b w:val="1"/>
          <w:bCs w:val="1"/>
          <w:color w:val="auto"/>
        </w:rPr>
        <w:t>November 30, 2012</w:t>
      </w:r>
      <w:r>
        <w:rPr>
          <w:sz w:val="20"/>
          <w:szCs w:val="20"/>
          <w:color w:val="auto"/>
        </w:rPr>
        <w:tab/>
      </w:r>
      <w:r>
        <w:rPr>
          <w:rFonts w:ascii="Times New Roman" w:cs="Times New Roman" w:eastAsia="Times New Roman" w:hAnsi="Times New Roman"/>
          <w:sz w:val="14"/>
          <w:szCs w:val="14"/>
          <w:b w:val="1"/>
          <w:bCs w:val="1"/>
          <w:color w:val="auto"/>
        </w:rPr>
        <w:t>May 31, 2012</w:t>
      </w:r>
    </w:p>
    <w:p>
      <w:pPr>
        <w:spacing w:after="0" w:line="20" w:lineRule="exact"/>
        <w:rPr>
          <w:sz w:val="20"/>
          <w:szCs w:val="20"/>
          <w:color w:val="auto"/>
        </w:rPr>
      </w:pPr>
    </w:p>
    <w:p>
      <w:pPr>
        <w:sectPr>
          <w:pgSz w:w="11900" w:h="16885" w:orient="portrait"/>
          <w:cols w:equalWidth="0" w:num="1">
            <w:col w:w="11420"/>
          </w:cols>
          <w:pgMar w:left="240" w:top="121" w:right="239"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salaries, wages and related employee benefits</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21,206</w:t>
            </w:r>
          </w:p>
        </w:tc>
        <w:tc>
          <w:tcPr>
            <w:tcW w:w="3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17,195</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consideration, current portion</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2,371</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worker compensation and health benefits</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3,678</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5,390</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10,700</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5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 w:type="dxa"/>
            <w:vAlign w:val="bottom"/>
            <w:vMerge w:val="continue"/>
          </w:tcPr>
          <w:p>
            <w:pPr>
              <w:spacing w:after="0"/>
              <w:rPr>
                <w:sz w:val="24"/>
                <w:szCs w:val="24"/>
                <w:color w:val="auto"/>
              </w:rPr>
            </w:pPr>
          </w:p>
        </w:tc>
        <w:tc>
          <w:tcPr>
            <w:tcW w:w="536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November 30, 2012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May 31, 2012</w:t>
            </w:r>
          </w:p>
        </w:tc>
        <w:tc>
          <w:tcPr>
            <w:tcW w:w="0" w:type="dxa"/>
            <w:vAlign w:val="bottom"/>
          </w:tcPr>
          <w:p>
            <w:pPr>
              <w:spacing w:after="0"/>
              <w:rPr>
                <w:sz w:val="1"/>
                <w:szCs w:val="1"/>
                <w:color w:val="auto"/>
              </w:rPr>
            </w:pPr>
          </w:p>
        </w:tc>
      </w:tr>
      <w:tr>
        <w:trPr>
          <w:trHeight w:val="196"/>
        </w:trPr>
        <w:tc>
          <w:tcPr>
            <w:tcW w:w="59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Senior credit facility:</w:t>
            </w:r>
          </w:p>
        </w:tc>
        <w:tc>
          <w:tcPr>
            <w:tcW w:w="19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Revolver</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37,349</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18,184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12,532</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2,697</w:t>
            </w:r>
          </w:p>
        </w:tc>
        <w:tc>
          <w:tcPr>
            <w:tcW w:w="0" w:type="dxa"/>
            <w:vAlign w:val="bottom"/>
          </w:tcPr>
          <w:p>
            <w:pPr>
              <w:spacing w:after="0"/>
              <w:rPr>
                <w:sz w:val="1"/>
                <w:szCs w:val="1"/>
                <w:color w:val="auto"/>
              </w:rPr>
            </w:pPr>
          </w:p>
        </w:tc>
      </w:tr>
      <w:tr>
        <w:trPr>
          <w:trHeight w:val="210"/>
        </w:trPr>
        <w:tc>
          <w:tcPr>
            <w:tcW w:w="540" w:type="dxa"/>
            <w:vAlign w:val="bottom"/>
            <w:tcBorders>
              <w:top w:val="single" w:sz="8" w:color="CCEEFF"/>
            </w:tcBorders>
            <w:shd w:val="clear" w:color="auto" w:fill="CCEEFF"/>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(5,971)</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Credit Facility</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December 2011, the Company entered into a Third Amended and Restated Credit Agreement (Credit Agreement) with Bank of America, N.A., as agent for the lenders and a lender, and JPMorgan Chase Bank, N.A., Keybank National Association and TD Bank, N.A., as lenders. The Credit Agreement provides the Company with a $125.0 million revolving line of credit, which, under certain circumstances, can be increased to $150.0 million. The Credit Agreement has a maturity date of December 20, 2016. The Company may borrow up to $30.0 million in non-U.S. dollar currencies and use up to $10.0 million of the credit limit for the issuance of letters of credit. As of November 30, 2012, there were outstanding borrowings of $37.3 million and a total of $3.0 million of outstanding letters of credit under the current revolving credit facility.</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Loans under the Credit Agreement bear interest, at the option of the Company, at LIBOR, plus an applicable margin ranging from 1% to 2%, or base rate less a margin ranging from 0.25% to 1.25%, based upon its Funded Debt Leverage Ratio. Funded Debt Leverage Ratio is generally the ratio of (1) all outstanding indebtedness for borrowed money and other interest-bearing indebtedness as of the date of determination to (2) EBITDA, as defined in the Credit Agreement, (which is (a) net income, less (b) income (or plus loss) from discontinued operations and extraordinary items, plus (c) income tax expenses, plus (d) interest expense, plus (e) depreciation, depletion, and amortization (including non-cash loss on retirement of assets), plus (f) stock compensation expense, less</w:t>
      </w:r>
    </w:p>
    <w:p>
      <w:pPr>
        <w:spacing w:after="0" w:line="3" w:lineRule="exact"/>
        <w:rPr>
          <w:sz w:val="20"/>
          <w:szCs w:val="20"/>
          <w:color w:val="auto"/>
        </w:rPr>
      </w:pPr>
    </w:p>
    <w:p>
      <w:pPr>
        <w:ind w:right="220" w:firstLine="8"/>
        <w:spacing w:after="0" w:line="253"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expense related to stock compensation, plus or minus certain other adjustments) for the period of four consecutive fiscal quarters immediately preceding the date of determination. The Company has the benefit of the lowest margin if its Funded Debt Leverage Ratio is equal to or less than 0.5 to 1, and the margin increases as the ratio increases, to the maximum margin if the ratio is greater than 2.5 to 1. The Company will also bear additional costs for market disruption, regulatory changes effecting the lenders’ funding costs, and default pricing of an additional 2% interest rate margin if the Funded Debt Leverage Ratio exceeds 3.0 to 1. Amounts borrowed under the Credit Agreement are secured by liens on substantially all of the assets of the Company.</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Credit Agreement contains financial covenants requiring that the Company maintain a Funded Debt Leverage Ratio of less than 3.0 to 1 and an Interest Coverage Ratio of at least 3.0 to 1. Interest Coverage Ratio means the ratio, as of any date of determination, of (a) EBITDA, as defined in the Credit Agreement, for the 12 month period immediately preceding the date of determination, to (b) all interest, premium payments, debt discount, fees, charges and related expenses of the Company and its subsidiaries in connection with borrowed money (including capitalized interest) or in connection with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per share data)</w:t>
      </w:r>
    </w:p>
    <w:p>
      <w:pPr>
        <w:spacing w:after="0" w:line="20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deferred purchase price of assets, in each case to the extent treated as interest in accordance with GAAP, paid during the 12 month period immediately preceding the date of determination. The Credit Agreement also limits the Company’s ability to, among other things, create liens, make investments, incur more indebtedness, merge or consolidate, make dispositions of property, pay dividends and make distributions to stockholders, enter into a new line of business, enter into transactions with affiliates and enter into burdensome agreements. The Credit Agreement does not limit the Company’s ability to acquire other businesses or companies except that the acquired business or company must be in its line of business, the Company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November 30, 2012, the Company was in compliance with the terms of the credit agreement, and it will continuously monitor its compliance with the covenants contained in the new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and Other</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connection with certain of the acquisitions the Company has completed, it has, at various times, issued subordinated notes payable to the sellers. The maturity of these notes range from three to five years from the date of acquisition with interest rates ranging from 0% to 7%. The Company has discounted these obligations to reflect a 3.5% to 10% imputed interest rate. Unamortized discount on these notes was de minimis as of November 30, 2012 and totaled approximately $0.1 million as of May 31, 2012. Amortization is recorded as interest expense in the consolidated statement of operations. The Company also has payment obligations to the sellers or the shareholders of the sellers pursuant to non-compete agreements which require the sellers and shareholders of the sellers not to compete with the Company. The payment obligations under these agreements range from 3 to 5 years.</w:t>
      </w:r>
    </w:p>
    <w:p>
      <w:pPr>
        <w:spacing w:after="0" w:line="20" w:lineRule="exact"/>
        <w:rPr>
          <w:sz w:val="20"/>
          <w:szCs w:val="20"/>
          <w:color w:val="auto"/>
        </w:rPr>
      </w:pPr>
    </w:p>
    <w:p>
      <w:pPr>
        <w:sectPr>
          <w:pgSz w:w="11900" w:h="16838" w:orient="portrait"/>
          <w:cols w:equalWidth="0" w:num="1">
            <w:col w:w="11420"/>
          </w:cols>
          <w:pgMar w:left="240" w:top="356" w:right="239" w:bottom="12" w:gutter="0" w:footer="0" w:header="0"/>
        </w:sectPr>
      </w:pPr>
    </w:p>
    <w:bookmarkStart w:id="12" w:name="page13"/>
    <w:bookmarkEnd w:id="12"/>
    <w:p>
      <w:pPr>
        <w:ind w:right="60"/>
        <w:spacing w:after="0" w:line="261" w:lineRule="auto"/>
        <w:rPr>
          <w:sz w:val="20"/>
          <w:szCs w:val="20"/>
          <w:color w:val="auto"/>
        </w:rPr>
      </w:pPr>
      <w:r>
        <w:rPr>
          <w:rFonts w:ascii="Times New Roman" w:cs="Times New Roman" w:eastAsia="Times New Roman" w:hAnsi="Times New Roman"/>
          <w:sz w:val="18"/>
          <w:szCs w:val="18"/>
          <w:color w:val="auto"/>
        </w:rPr>
        <w:t>In December 2011, the Company amended its credit agreement bringing the Company’s interest rate to current market rates. The Company has evaluated current market conditions and borrower credit quality and has determined that the carrying value of its long-term debt approximates fair value. The fair value of the Company’s notes payable and capital lease obligations approximates their carrying amounts based on anticipated interest rates which management believes would currently be available to the Company for similar issues of debt.</w:t>
      </w:r>
    </w:p>
    <w:p>
      <w:pPr>
        <w:spacing w:after="0" w:line="176" w:lineRule="exact"/>
        <w:rPr>
          <w:sz w:val="20"/>
          <w:szCs w:val="20"/>
          <w:color w:val="auto"/>
        </w:rPr>
      </w:pPr>
    </w:p>
    <w:p>
      <w:pPr>
        <w:ind w:left="640" w:hanging="632"/>
        <w:spacing w:after="0"/>
        <w:tabs>
          <w:tab w:leader="none" w:pos="6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 The three levels of the hierarchy are defined as follows:</w:t>
      </w:r>
    </w:p>
    <w:p>
      <w:pPr>
        <w:spacing w:after="0" w:line="18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that the Company has the ability to access at the measurement date.</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quoted prices included in Level 1, including quoted prices for similar assets or liabilities in active markets, quoted prices for identical assets or liabilities in inactive markets, inputs other than quoted prices that are observable for the asset or liability and inputs derived principally from or corroborated by observable market data.</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Level 3 — Unobservable inputs reflecting the Company’s own assumptions about inputs that market participants would use in pricing the asset or liability based on the best information available.</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accordance with the fair value hierarchy described above, the following table shows the fair value of the Company’s financial liabilities that are required to be remeasured at fair value on a recurring basis: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As of November 30, 2012</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2"/>
          </w:tcPr>
          <w:p>
            <w:pPr>
              <w:jc w:val="right"/>
              <w:ind w:right="7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2"/>
                <w:szCs w:val="12"/>
                <w:color w:val="auto"/>
              </w:rPr>
            </w:pPr>
          </w:p>
        </w:tc>
        <w:tc>
          <w:tcPr>
            <w:tcW w:w="104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considération</w:t>
            </w: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75"/>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18,382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18,382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2"/>
              </w:rPr>
              <w:t>18,382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As of May 31, 2012</w:t>
            </w: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2"/>
          </w:tcPr>
          <w:p>
            <w:pPr>
              <w:jc w:val="right"/>
              <w:ind w:right="7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2"/>
                <w:szCs w:val="12"/>
                <w:color w:val="auto"/>
              </w:rPr>
            </w:pPr>
          </w:p>
        </w:tc>
        <w:tc>
          <w:tcPr>
            <w:tcW w:w="104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considération</w:t>
            </w: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13,513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13,513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2"/>
              </w:rPr>
              <w:t>13,513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fair value of contingent consideration liabilities that was classified as Level 3 in the table above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acquisition agreements.</w:t>
      </w:r>
    </w:p>
    <w:p>
      <w:pPr>
        <w:spacing w:after="0" w:line="180"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is subject to periodic lawsuits, investigations and claims that arise in the ordinary course of business. Although the Company cannot predict with certainty the ultimate resolution of lawsuits, investigations and claims asserted against it, the Company does not believe that any currently pending legal proceeding to which the Company is a party will have a material adverse effect on its business, results of operations, cash flows or financial condition. The costs of defense and amounts that may be recovered in such matters may be covered by insurance.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contingencies</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is liable for contingent consideration in connection with certain of its acquisitions. As of November 30, 2012, total potential acquisition-related contingent consideration ranged from zero to approximately $30.2 million and would be payable upon the achievement of specific performance metrics by certain of the acquired companies over the next five years of operations. See Note 5 to these consolidated financial statements for further discussion of the Company’s acquisitions.</w:t>
      </w:r>
    </w:p>
    <w:p>
      <w:pPr>
        <w:spacing w:after="0" w:line="176"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Subsequent to November 30, 2012, the Company completed acquisitions of two asset protection businesses, one located in France and one in Canada, to continue its market expansion strategy. The Company’s cash outlay for these two acquisitions was approximately $6.6 million. In addition to the cash consideration, the agreement for one of the acquisitions allows for contingent consideration to be earned based upon the acquired company achieving specific</w:t>
      </w:r>
    </w:p>
    <w:p>
      <w:pPr>
        <w:sectPr>
          <w:pgSz w:w="11900" w:h="16838" w:orient="portrait"/>
          <w:cols w:equalWidth="0" w:num="1">
            <w:col w:w="11400"/>
          </w:cols>
          <w:pgMar w:left="240" w:top="121" w:right="259" w:bottom="0" w:gutter="0" w:footer="0" w:header="0"/>
        </w:sectPr>
      </w:pPr>
    </w:p>
    <w:bookmarkStart w:id="13" w:name="page14"/>
    <w:bookmarkEnd w:id="13"/>
    <w:p>
      <w:pPr>
        <w:spacing w:after="0" w:line="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performance metrics over the next three years of operation. The Company is in the process of completing the preliminary purchase price allocation. These acquisitions were not individually or in the aggregate significant and no pro forma information has been included.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per share data)</w:t>
      </w:r>
    </w:p>
    <w:p>
      <w:pPr>
        <w:spacing w:after="0" w:line="203"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three segments are:</w:t>
      </w:r>
    </w:p>
    <w:p>
      <w:pPr>
        <w:spacing w:after="0" w:line="223"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Services</w:t>
      </w:r>
      <w:r>
        <w:rPr>
          <w:rFonts w:ascii="Times New Roman" w:cs="Times New Roman" w:eastAsia="Times New Roman" w:hAnsi="Times New Roman"/>
          <w:sz w:val="18"/>
          <w:szCs w:val="18"/>
          <w:color w:val="auto"/>
        </w:rPr>
        <w:t>. This segment provides asset protection solutions primarily in North America with the largest concentration in the United States, consisting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of non-destructive testing and inspection services that are used to evaluate the structural integrity and reliability of critical energy, industrial and public infrastructure.</w:t>
      </w:r>
      <w:r>
        <w:rPr>
          <w:rFonts w:ascii="Times New Roman" w:cs="Times New Roman" w:eastAsia="Times New Roman" w:hAnsi="Times New Roman"/>
          <w:sz w:val="18"/>
          <w:szCs w:val="18"/>
          <w:i w:val="1"/>
          <w:iCs w:val="1"/>
          <w:color w:val="auto"/>
        </w:rPr>
        <w:t>International</w:t>
      </w:r>
      <w:r>
        <w:rPr>
          <w:rFonts w:ascii="Times New Roman" w:cs="Times New Roman" w:eastAsia="Times New Roman" w:hAnsi="Times New Roman"/>
          <w:sz w:val="18"/>
          <w:szCs w:val="18"/>
          <w:color w:val="auto"/>
        </w:rPr>
        <w:t>. This segment offers services, products and systems similar to those of the other segments to global markets, principally in Europe, the Middle East, Africa, Asia and South America, but not to customers in China and South Korea, which are served by the Products and Systems segment.</w:t>
      </w:r>
    </w:p>
    <w:p>
      <w:pPr>
        <w:spacing w:after="0" w:line="180" w:lineRule="exact"/>
        <w:rPr>
          <w:sz w:val="20"/>
          <w:szCs w:val="20"/>
          <w:color w:val="auto"/>
        </w:rPr>
      </w:pPr>
    </w:p>
    <w:p>
      <w:pPr>
        <w:ind w:right="6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Products and Systems</w:t>
      </w:r>
      <w:r>
        <w:rPr>
          <w:rFonts w:ascii="Times New Roman" w:cs="Times New Roman" w:eastAsia="Times New Roman" w:hAnsi="Times New Roman"/>
          <w:sz w:val="18"/>
          <w:szCs w:val="18"/>
          <w:color w:val="auto"/>
        </w:rPr>
        <w:t>. This segment designs, manufactures, sells, installs and services the Company’s asset protection products and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equipment and instrumentation, predominantly in the United States.</w:t>
      </w:r>
    </w:p>
    <w:p>
      <w:pPr>
        <w:spacing w:after="0" w:line="16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Costs incurred for general corporate services, including accounting, audit, and contract management,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18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Segment income from operations is determined based on internal performance measures used by the Chief Executive Officer, who is the chief operating decision maker, to assess the performance of each business in a given period and to make decisions as to resource allocations. In connection with that assessment, the Chief Executive Officer may exclude matters such as charges for stock-based compensation and certain other acquisition-related charges and balances, technology and product development costs, certain gains and losses from dispositions, and litigation settlements or other charges. Certain general and administrative costs such as human resources, information technology, marketing and training are allocated to the segments. Segment income from operations also excludes interest and other financial charges and income taxes. Corporate and other assets are comprised principally of cash, deposits, property, plant and equipment, domestic deferred taxes, deferred charges and other assets. Corporate loss from operations consists of depreciation on the corporate office facilities and equipment, administrative charges related to corporate personnel and other charges that cannot be readily identified for allocation to a particular segment.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consolidated financial information by segment for the periods shown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6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November 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November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Services</w:t>
            </w:r>
          </w:p>
        </w:tc>
        <w:tc>
          <w:tcPr>
            <w:tcW w:w="17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105,213</w:t>
            </w:r>
          </w:p>
        </w:tc>
        <w:tc>
          <w:tcPr>
            <w:tcW w:w="3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96,909</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187,610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172,598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International</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26,777</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51,206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Products and Systems</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17,973</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(2,700)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(5,673)</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137,729</w:t>
            </w: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251,116</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205,667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Revenues by segment include intercompany transactions, which are eliminated in Corporate and eliminations. The Services segment had sales to other operating segments of $1.1 million and $1.6 million for the three months ended November 30, 2012 and 2011, respectively. For the six months ended November 30, 2012 and 2011, the Services segment sales to other operating segments totaled $2.2 million and $1.8 million, respectively.</w:t>
      </w:r>
    </w:p>
    <w:p>
      <w:pPr>
        <w:spacing w:after="0" w:line="17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International segment had sales to other operating segments of $0.1 million and $0.2 million for the three months ended November 30, 2012 and 2011. For the six months ended November 30, 2012 and 2011, the International segment sales to other operating segments totaled $0.3 million and $0.3 million, respectively.</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Products and Systems segment had sales to other operating segments of $1.4 million and $2.1 million for the three months ended November 30, 2012 and 2011, respectively. For the six months ended November 30, 2012 and 2011, the Products and Systems segment sales to other operating segments totaled $3.1 million and $3.4 million,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per share data)</w:t>
      </w:r>
    </w:p>
    <w:p>
      <w:pPr>
        <w:sectPr>
          <w:pgSz w:w="11900" w:h="16900" w:orient="portrait"/>
          <w:cols w:equalWidth="0" w:num="1">
            <w:col w:w="11420"/>
          </w:cols>
          <w:pgMar w:left="240" w:top="121" w:right="239" w:bottom="0" w:gutter="0" w:footer="0" w:header="0"/>
        </w:sectPr>
      </w:pP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33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November 30,</w:t>
            </w:r>
          </w:p>
        </w:tc>
        <w:tc>
          <w:tcPr>
            <w:tcW w:w="310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Six months ended November 30,</w:t>
            </w:r>
          </w:p>
        </w:tc>
      </w:tr>
      <w:tr>
        <w:trPr>
          <w:trHeight w:val="142"/>
        </w:trPr>
        <w:tc>
          <w:tcPr>
            <w:tcW w:w="50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58"/>
        </w:trPr>
        <w:tc>
          <w:tcPr>
            <w:tcW w:w="50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bl>
    <w:p>
      <w:pPr>
        <w:sectPr>
          <w:pgSz w:w="11900" w:h="16900" w:orient="portrait"/>
          <w:cols w:equalWidth="0" w:num="1">
            <w:col w:w="11420"/>
          </w:cols>
          <w:pgMar w:left="240" w:top="121" w:right="239" w:bottom="0" w:gutter="0" w:footer="0" w:header="0"/>
          <w:type w:val="continuous"/>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280" w:type="dxa"/>
            <w:vAlign w:val="bottom"/>
            <w:gridSpan w:val="2"/>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30,692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27,053</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51,632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47,361</w:t>
            </w:r>
          </w:p>
        </w:tc>
        <w:tc>
          <w:tcPr>
            <w:tcW w:w="80" w:type="dxa"/>
            <w:vAlign w:val="bottom"/>
          </w:tcPr>
          <w:p>
            <w:pPr>
              <w:spacing w:after="0"/>
              <w:rPr>
                <w:sz w:val="18"/>
                <w:szCs w:val="18"/>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14,380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7,677</w:t>
            </w:r>
          </w:p>
        </w:tc>
        <w:tc>
          <w:tcPr>
            <w:tcW w:w="80" w:type="dxa"/>
            <w:vAlign w:val="bottom"/>
            <w:shd w:val="clear" w:color="auto" w:fill="CCEEFF"/>
          </w:tcPr>
          <w:p>
            <w:pPr>
              <w:spacing w:after="0"/>
              <w:rPr>
                <w:sz w:val="18"/>
                <w:szCs w:val="18"/>
                <w:color w:val="auto"/>
              </w:rPr>
            </w:pPr>
          </w:p>
        </w:tc>
      </w:tr>
      <w:tr>
        <w:trPr>
          <w:trHeight w:val="216"/>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1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9,220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8,014</w:t>
            </w:r>
          </w:p>
        </w:tc>
        <w:tc>
          <w:tcPr>
            <w:tcW w:w="80" w:type="dxa"/>
            <w:vAlign w:val="bottom"/>
          </w:tcPr>
          <w:p>
            <w:pPr>
              <w:spacing w:after="0"/>
              <w:rPr>
                <w:sz w:val="18"/>
                <w:szCs w:val="18"/>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390</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(417)</w:t>
            </w:r>
          </w:p>
        </w:tc>
      </w:tr>
      <w:tr>
        <w:trPr>
          <w:trHeight w:val="210"/>
        </w:trPr>
        <w:tc>
          <w:tcPr>
            <w:tcW w:w="3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41,905</w:t>
            </w: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75,622</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5"/>
        </w:trPr>
        <w:tc>
          <w:tcPr>
            <w:tcW w:w="3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2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November 30,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November 30,</w:t>
            </w:r>
          </w:p>
        </w:tc>
      </w:tr>
      <w:tr>
        <w:trPr>
          <w:trHeight w:val="142"/>
        </w:trPr>
        <w:tc>
          <w:tcPr>
            <w:tcW w:w="356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3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280" w:type="dxa"/>
            <w:vAlign w:val="bottom"/>
            <w:gridSpan w:val="2"/>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15,861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13,616</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22,684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20,776</w:t>
            </w:r>
          </w:p>
        </w:tc>
        <w:tc>
          <w:tcPr>
            <w:tcW w:w="80" w:type="dxa"/>
            <w:vAlign w:val="bottom"/>
          </w:tcPr>
          <w:p>
            <w:pPr>
              <w:spacing w:after="0"/>
              <w:rPr>
                <w:sz w:val="18"/>
                <w:szCs w:val="18"/>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2,882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2,090</w:t>
            </w:r>
          </w:p>
        </w:tc>
        <w:tc>
          <w:tcPr>
            <w:tcW w:w="80" w:type="dxa"/>
            <w:vAlign w:val="bottom"/>
            <w:shd w:val="clear" w:color="auto" w:fill="CCEEFF"/>
          </w:tcPr>
          <w:p>
            <w:pPr>
              <w:spacing w:after="0"/>
              <w:rPr>
                <w:sz w:val="18"/>
                <w:szCs w:val="18"/>
                <w:color w:val="auto"/>
              </w:rPr>
            </w:pPr>
          </w:p>
        </w:tc>
      </w:tr>
      <w:tr>
        <w:trPr>
          <w:trHeight w:val="216"/>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1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4,936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3,562</w:t>
            </w:r>
          </w:p>
        </w:tc>
        <w:tc>
          <w:tcPr>
            <w:tcW w:w="80" w:type="dxa"/>
            <w:vAlign w:val="bottom"/>
          </w:tcPr>
          <w:p>
            <w:pPr>
              <w:spacing w:after="0"/>
              <w:rPr>
                <w:sz w:val="18"/>
                <w:szCs w:val="18"/>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(2,913)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(6,504)</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(6,386)</w:t>
            </w:r>
          </w:p>
        </w:tc>
      </w:tr>
      <w:tr>
        <w:trPr>
          <w:trHeight w:val="210"/>
        </w:trPr>
        <w:tc>
          <w:tcPr>
            <w:tcW w:w="3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16,006</w:t>
            </w: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23,998</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by operating segment includes intercompany transactions, which are eliminated in Corporate and eliminations.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2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November 30,</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4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 November 30,</w:t>
            </w:r>
          </w:p>
        </w:tc>
        <w:tc>
          <w:tcPr>
            <w:tcW w:w="40" w:type="dxa"/>
            <w:vAlign w:val="bottom"/>
          </w:tcPr>
          <w:p>
            <w:pPr>
              <w:spacing w:after="0"/>
              <w:rPr>
                <w:sz w:val="15"/>
                <w:szCs w:val="15"/>
                <w:color w:val="auto"/>
              </w:rPr>
            </w:pPr>
          </w:p>
        </w:tc>
      </w:tr>
      <w:tr>
        <w:trPr>
          <w:trHeight w:val="142"/>
        </w:trPr>
        <w:tc>
          <w:tcPr>
            <w:tcW w:w="368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gridSpan w:val="2"/>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2011</w:t>
            </w:r>
          </w:p>
        </w:tc>
        <w:tc>
          <w:tcPr>
            <w:tcW w:w="42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3"/>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3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880" w:type="dxa"/>
            <w:vAlign w:val="bottom"/>
            <w:gridSpan w:val="2"/>
          </w:tcPr>
          <w:p>
            <w:pPr>
              <w:jc w:val="right"/>
              <w:ind w:right="40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30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4,298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9,103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8,401</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2,459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804</w:t>
            </w:r>
          </w:p>
        </w:tc>
        <w:tc>
          <w:tcPr>
            <w:tcW w:w="40" w:type="dxa"/>
            <w:vAlign w:val="bottom"/>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488</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979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951</w:t>
            </w: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tcPr>
          <w:p>
            <w:pPr>
              <w:spacing w:after="0"/>
              <w:rPr>
                <w:sz w:val="18"/>
                <w:szCs w:val="18"/>
                <w:color w:val="auto"/>
              </w:rPr>
            </w:pPr>
          </w:p>
        </w:tc>
      </w:tr>
      <w:tr>
        <w:trPr>
          <w:trHeight w:val="210"/>
        </w:trPr>
        <w:tc>
          <w:tcPr>
            <w:tcW w:w="3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0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3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5,245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12,501</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3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November 30, 2012</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8"/>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May 31, 2012</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3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Intangible assets, net</w:t>
            </w:r>
          </w:p>
        </w:tc>
        <w:tc>
          <w:tcPr>
            <w:tcW w:w="1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220" w:type="dxa"/>
            <w:vAlign w:val="bottom"/>
            <w:gridSpan w:val="3"/>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15,294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17,180</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32,288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6,390</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10,095</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804</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680" w:type="dxa"/>
            <w:vAlign w:val="bottom"/>
          </w:tcPr>
          <w:p>
            <w:pPr>
              <w:spacing w:after="0"/>
              <w:rPr>
                <w:sz w:val="18"/>
                <w:szCs w:val="18"/>
                <w:color w:val="auto"/>
              </w:rPr>
            </w:pPr>
          </w:p>
        </w:tc>
        <w:tc>
          <w:tcPr>
            <w:tcW w:w="1880" w:type="dxa"/>
            <w:vAlign w:val="bottom"/>
            <w:gridSpan w:val="2"/>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58,201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34,469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3680" w:type="dxa"/>
            <w:vAlign w:val="bottom"/>
          </w:tcPr>
          <w:p>
            <w:pPr>
              <w:spacing w:after="0"/>
              <w:rPr>
                <w:sz w:val="24"/>
                <w:szCs w:val="24"/>
                <w:color w:val="auto"/>
              </w:rPr>
            </w:pPr>
          </w:p>
        </w:tc>
        <w:tc>
          <w:tcPr>
            <w:tcW w:w="222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18</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8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30, 2012</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May 31, 2012</w:t>
            </w:r>
          </w:p>
        </w:tc>
      </w:tr>
      <w:tr>
        <w:trPr>
          <w:trHeight w:val="196"/>
        </w:trPr>
        <w:tc>
          <w:tcPr>
            <w:tcW w:w="3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Goodwill</w:t>
            </w:r>
          </w:p>
        </w:tc>
        <w:tc>
          <w:tcPr>
            <w:tcW w:w="1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59,001</w:t>
            </w:r>
          </w:p>
        </w:tc>
        <w:tc>
          <w:tcPr>
            <w:tcW w:w="260" w:type="dxa"/>
            <w:vAlign w:val="bottom"/>
          </w:tcPr>
          <w:p>
            <w:pPr>
              <w:spacing w:after="0"/>
              <w:rPr>
                <w:sz w:val="18"/>
                <w:szCs w:val="18"/>
                <w:color w:val="auto"/>
              </w:rPr>
            </w:pPr>
          </w:p>
        </w:tc>
        <w:tc>
          <w:tcPr>
            <w:tcW w:w="2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58,746</w:t>
            </w: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44,733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24,481</w:t>
            </w: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13,592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13,592</w:t>
            </w:r>
          </w:p>
        </w:tc>
      </w:tr>
      <w:tr>
        <w:trPr>
          <w:trHeight w:val="210"/>
        </w:trPr>
        <w:tc>
          <w:tcPr>
            <w:tcW w:w="34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117,326</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358"/>
        </w:trPr>
        <w:tc>
          <w:tcPr>
            <w:tcW w:w="3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30, 2012</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May 31, 2012</w:t>
            </w:r>
          </w:p>
        </w:tc>
      </w:tr>
      <w:tr>
        <w:trPr>
          <w:trHeight w:val="196"/>
        </w:trPr>
        <w:tc>
          <w:tcPr>
            <w:tcW w:w="3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Long-lived assets</w:t>
            </w:r>
          </w:p>
        </w:tc>
        <w:tc>
          <w:tcPr>
            <w:tcW w:w="1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118,301</w:t>
            </w:r>
          </w:p>
        </w:tc>
        <w:tc>
          <w:tcPr>
            <w:tcW w:w="2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120,846</w:t>
            </w:r>
          </w:p>
        </w:tc>
        <w:tc>
          <w:tcPr>
            <w:tcW w:w="80" w:type="dxa"/>
            <w:vAlign w:val="bottom"/>
          </w:tcPr>
          <w:p>
            <w:pPr>
              <w:spacing w:after="0"/>
              <w:rPr>
                <w:sz w:val="18"/>
                <w:szCs w:val="18"/>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47,825</w:t>
            </w: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23,929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24,242</w:t>
            </w: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1,902</w:t>
            </w:r>
          </w:p>
        </w:tc>
        <w:tc>
          <w:tcPr>
            <w:tcW w:w="80" w:type="dxa"/>
            <w:vAlign w:val="bottom"/>
            <w:shd w:val="clear" w:color="auto" w:fill="CCEEFF"/>
          </w:tcPr>
          <w:p>
            <w:pPr>
              <w:spacing w:after="0"/>
              <w:rPr>
                <w:sz w:val="18"/>
                <w:szCs w:val="18"/>
                <w:color w:val="auto"/>
              </w:rPr>
            </w:pPr>
          </w:p>
        </w:tc>
      </w:tr>
      <w:tr>
        <w:trPr>
          <w:trHeight w:val="210"/>
        </w:trPr>
        <w:tc>
          <w:tcPr>
            <w:tcW w:w="346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245,323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5"/>
        </w:trPr>
        <w:tc>
          <w:tcPr>
            <w:tcW w:w="3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30, 2012</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May 31, 2012</w:t>
            </w:r>
          </w:p>
        </w:tc>
      </w:tr>
      <w:tr>
        <w:trPr>
          <w:trHeight w:val="196"/>
        </w:trPr>
        <w:tc>
          <w:tcPr>
            <w:tcW w:w="3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201,121</w:t>
            </w:r>
          </w:p>
        </w:tc>
        <w:tc>
          <w:tcPr>
            <w:tcW w:w="260" w:type="dxa"/>
            <w:vAlign w:val="bottom"/>
          </w:tcPr>
          <w:p>
            <w:pPr>
              <w:spacing w:after="0"/>
              <w:rPr>
                <w:sz w:val="18"/>
                <w:szCs w:val="18"/>
                <w:color w:val="auto"/>
              </w:rPr>
            </w:pPr>
          </w:p>
        </w:tc>
        <w:tc>
          <w:tcPr>
            <w:tcW w:w="2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204,209</w:t>
            </w:r>
          </w:p>
        </w:tc>
        <w:tc>
          <w:tcPr>
            <w:tcW w:w="80" w:type="dxa"/>
            <w:vAlign w:val="bottom"/>
          </w:tcPr>
          <w:p>
            <w:pPr>
              <w:spacing w:after="0"/>
              <w:rPr>
                <w:sz w:val="18"/>
                <w:szCs w:val="18"/>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143,609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82,579</w:t>
            </w: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35,568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43,914</w:t>
            </w: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(886)</w:t>
            </w:r>
          </w:p>
        </w:tc>
      </w:tr>
      <w:tr>
        <w:trPr>
          <w:trHeight w:val="210"/>
        </w:trPr>
        <w:tc>
          <w:tcPr>
            <w:tcW w:w="346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381,027</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329,816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geographic area for the three and six months ended November 30, 2012 and 2011, respectively,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28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November 30,</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8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 November 30,</w:t>
            </w:r>
          </w:p>
        </w:tc>
      </w:tr>
      <w:tr>
        <w:trPr>
          <w:trHeight w:val="142"/>
        </w:trPr>
        <w:tc>
          <w:tcPr>
            <w:tcW w:w="408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62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4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980" w:type="dxa"/>
            <w:vAlign w:val="bottom"/>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91,506</w:t>
            </w:r>
          </w:p>
        </w:tc>
        <w:tc>
          <w:tcPr>
            <w:tcW w:w="980" w:type="dxa"/>
            <w:vAlign w:val="bottom"/>
          </w:tcPr>
          <w:p>
            <w:pPr>
              <w:jc w:val="right"/>
              <w:ind w:right="81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91,323</w:t>
            </w: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166,644</w:t>
            </w:r>
          </w:p>
        </w:tc>
        <w:tc>
          <w:tcPr>
            <w:tcW w:w="360" w:type="dxa"/>
            <w:vAlign w:val="bottom"/>
            <w:gridSpan w:val="2"/>
          </w:tcPr>
          <w:p>
            <w:pPr>
              <w:jc w:val="right"/>
              <w:ind w:right="22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162,799</w:t>
            </w:r>
          </w:p>
        </w:tc>
        <w:tc>
          <w:tcPr>
            <w:tcW w:w="80" w:type="dxa"/>
            <w:vAlign w:val="bottom"/>
          </w:tcPr>
          <w:p>
            <w:pPr>
              <w:spacing w:after="0"/>
              <w:rPr>
                <w:sz w:val="18"/>
                <w:szCs w:val="18"/>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Americas</w:t>
            </w:r>
          </w:p>
        </w:tc>
        <w:tc>
          <w:tcPr>
            <w:tcW w:w="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20,195</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11,059</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33,120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20,857</w:t>
            </w:r>
          </w:p>
        </w:tc>
        <w:tc>
          <w:tcPr>
            <w:tcW w:w="80" w:type="dxa"/>
            <w:vAlign w:val="bottom"/>
            <w:shd w:val="clear" w:color="auto" w:fill="CCEEFF"/>
          </w:tcPr>
          <w:p>
            <w:pPr>
              <w:spacing w:after="0"/>
              <w:rPr>
                <w:sz w:val="18"/>
                <w:szCs w:val="18"/>
                <w:color w:val="auto"/>
              </w:rPr>
            </w:pP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w:t>
            </w:r>
          </w:p>
        </w:tc>
        <w:tc>
          <w:tcPr>
            <w:tcW w:w="9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22,231</w:t>
            </w:r>
          </w:p>
        </w:tc>
        <w:tc>
          <w:tcPr>
            <w:tcW w:w="9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8,476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38,908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14,076</w:t>
            </w:r>
          </w:p>
        </w:tc>
        <w:tc>
          <w:tcPr>
            <w:tcW w:w="80" w:type="dxa"/>
            <w:vAlign w:val="bottom"/>
          </w:tcPr>
          <w:p>
            <w:pPr>
              <w:spacing w:after="0"/>
              <w:rPr>
                <w:sz w:val="18"/>
                <w:szCs w:val="18"/>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Asia-Pacific</w:t>
            </w:r>
          </w:p>
        </w:tc>
        <w:tc>
          <w:tcPr>
            <w:tcW w:w="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3,797</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3,362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12,444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7,935</w:t>
            </w:r>
          </w:p>
        </w:tc>
        <w:tc>
          <w:tcPr>
            <w:tcW w:w="80" w:type="dxa"/>
            <w:vAlign w:val="bottom"/>
            <w:shd w:val="clear" w:color="auto" w:fill="CCEEFF"/>
          </w:tcPr>
          <w:p>
            <w:pPr>
              <w:spacing w:after="0"/>
              <w:rPr>
                <w:sz w:val="18"/>
                <w:szCs w:val="18"/>
                <w:color w:val="auto"/>
              </w:rPr>
            </w:pPr>
          </w:p>
        </w:tc>
      </w:tr>
      <w:tr>
        <w:trPr>
          <w:trHeight w:val="210"/>
        </w:trPr>
        <w:tc>
          <w:tcPr>
            <w:tcW w:w="40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137,729</w:t>
            </w:r>
          </w:p>
        </w:tc>
        <w:tc>
          <w:tcPr>
            <w:tcW w:w="3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251,116</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205,667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460"/>
          </w:cols>
          <w:pgMar w:left="240" w:top="140" w:right="199" w:bottom="0" w:gutter="0" w:footer="0" w:header="0"/>
        </w:sectPr>
      </w:pPr>
    </w:p>
    <w:bookmarkStart w:id="15" w:name="page16"/>
    <w:bookmarkEnd w:id="15"/>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(Securities Act), and Section 21E of the Securities Exchange Act of 1934 (Exchange Act). Forward-looking statements reflect our current estimates, expectations and projections about our future results, performance, prospects and opportunities. Forward-looking statements include, among other things, the information concerning our possible future results of operations, business and growth strategies, financing plans, our competitive position and the effects of competition, the projected growth of the industries in which we operate, the benefits and synergies to be obtained from our completed and any future acquisitions, and statements of management’s goals and objectives, and other similar expressions concerning matters that are not historical facts. Words such as “may,” “should,” “could,” “would,” “predicts,” “potential,” “continue,” “expects,” “anticipates,” “future,” “intends,” “plans,” “believes,” “estimates,” “appears,” “projects” and similar expressions, as well as statements in the future tense, identify forward-looking statements. Forward-looking statements should not be read as a guarantee of future performance or results, and will not necessarily be accurate indications of the times at, or by which, such performance or results will be achieved. Forward-looking information is based on information available at the time and management’s good faith belief with respect to future events, and is subject to risks and uncertainties that could cause actual performance or results to differ materially from those expressed in the statements. Important factors that could cause such differences include, but are not limited to the factors discussed under the “Risk Factors” section below.</w:t>
      </w:r>
    </w:p>
    <w:p>
      <w:pPr>
        <w:spacing w:after="0" w:line="19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following is a discussion and analysis of our financial condition and results of operations and should be read together with our condensed consolidated financial statements and related notes to the condensed consolidated financial statements included elsewhere in this Quarterly Report on Form 10-Q and our audited consolidated financial statements and related notes to the audited consolidated financial statements included in our Annual Report on Form 10-K. In this quarterly report, our fiscal years, which end on May 31, are identified according to the calendar year in which they end (e.g., the fiscal year ended May 31, 2012 is referred to as “fiscal 2012”), and unless otherwise specified or the context otherwise requires, “Mistras,” “the Company,” “we,” “us” and “our” refer to Mistras Group, Inc. and its consolidated subsidiaries.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a leading “one source” global provider of technology-enabled asset protection solutions used to evaluate the structural integrity and reliability of critical energy, industrial and public infrastructure. We combine industry-leading products and technologies, expertise in mechanical integrity (MI) and non-destructive testing (NDT) services and proprietary data analysis software to deliver a comprehensive portfolio of customized solutions, ranging from routine inspections to complex, plant-wide asset integrity assessments and management. These mission critical solutions enhance our customers’ ability to extend the useful life of their assets, increase productivity, minimize repair costs, comply with governmental safety and environmental regulations, manage risk and avoid catastrophic disasters. Given the role our services play in ensuring the safe and efficient operation of infrastructure, we have historically provided a majority of our services to our customers on a regular, recurring basis. We serve a global customer base of companies with asset-intensive infrastructure, including companies in the oil and gas, fossil and nuclear power, public infrastructure, chemicals, aerospace and defense, transportation, primary metals and metalworking, pharmaceuticals and food processing industries. As of November 30, 2012, we had approximately 4,200 employees in approximately 90 offices across 16 countries. We have established long-term relationships as a critical solutions provider to many leading companies in our target markets. Our current principal market is the oil and gas industry, which accounted for approximately 52% and 57% of our second quarter revenues of fiscal 2013 and 2012, respectively.</w:t>
      </w:r>
    </w:p>
    <w:p>
      <w:pPr>
        <w:spacing w:after="0" w:line="19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For the last several years, we have focused on introducing our advanced asset protection solutions to our customers using proprietary, technology-enabled software and testing instruments, including those developed by our Products and Systems segment. During this period, the demand for outsourced asset protection solutions, in general, has increased, creating demand from which our entire industry has benefited. We believe continued growth can be realized in all of our target markets. Concurrent with this growth, we have worked to build our infrastructure to profitably absorb additional growth and have made a number of small acquisitions in an effort to leverage our fixed costs, grow our base of experienced, certified personnel, expand our product and technical capabilities and increase our geographical reach.</w:t>
      </w:r>
    </w:p>
    <w:p>
      <w:pPr>
        <w:spacing w:after="0" w:line="18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increased our capabilities and the size of our customer base through the development of applied technologies and managed support services, organic growth and the integration of acquired companies. These acquisitions, in the aggregate, have provided us with additional products, technologies, resources and customers that we believe will enhance our advantages over our competition.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global economy continues to be fragile. Global financial markets continue to experience uncertainty, including tight liquidity and credit availability, relatively low consumer confidence, slow economic growth, persistently high unemployment rates, volatile currency exchange rates and continued uncertainty about economic stability. However, we believe these conditions have allowed us to capitalize on an opportunity to selectively hire new talented individuals that otherwise might not have been available to us, to acquire and develop new technologies in order to aggressively expand our proprietary portfolio of customized solutions, and to make acquisitions of complementary businesses at reasonable valuations.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November 30, 2012 compared to the three months ended November 30, 2011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results of operations for the three months ended November 30, 2012 and 2011 were as follows:</w:t>
      </w:r>
    </w:p>
    <w:p>
      <w:pPr>
        <w:spacing w:after="0" w:line="219" w:lineRule="exact"/>
        <w:rPr>
          <w:sz w:val="20"/>
          <w:szCs w:val="20"/>
          <w:color w:val="auto"/>
        </w:rPr>
      </w:pPr>
    </w:p>
    <w:tbl>
      <w:tblPr>
        <w:tblLayout w:type="fixed"/>
        <w:tblInd w:w="260" w:type="dxa"/>
        <w:tblCellMar>
          <w:top w:w="0" w:type="dxa"/>
          <w:left w:w="0" w:type="dxa"/>
          <w:bottom w:w="0" w:type="dxa"/>
          <w:right w:w="0" w:type="dxa"/>
        </w:tblCellMar>
      </w:tblPr>
      <w:tr>
        <w:trPr>
          <w:trHeight w:val="173"/>
        </w:trPr>
        <w:tc>
          <w:tcPr>
            <w:tcW w:w="7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November 30,</w:t>
            </w:r>
          </w:p>
        </w:tc>
      </w:tr>
      <w:tr>
        <w:trPr>
          <w:trHeight w:val="142"/>
        </w:trPr>
        <w:tc>
          <w:tcPr>
            <w:tcW w:w="722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72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559"/>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12"/>
                <w:szCs w:val="12"/>
                <w:color w:val="auto"/>
              </w:rPr>
            </w:pPr>
          </w:p>
        </w:tc>
      </w:tr>
      <w:tr>
        <w:trPr>
          <w:trHeight w:val="142"/>
        </w:trPr>
        <w:tc>
          <w:tcPr>
            <w:tcW w:w="7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64"/>
              <w:spacing w:after="0"/>
              <w:rPr>
                <w:sz w:val="20"/>
                <w:szCs w:val="20"/>
                <w:color w:val="auto"/>
              </w:rPr>
            </w:pPr>
            <w:r>
              <w:rPr>
                <w:rFonts w:ascii="Times New Roman" w:cs="Times New Roman" w:eastAsia="Times New Roman" w:hAnsi="Times New Roman"/>
                <w:sz w:val="18"/>
                <w:szCs w:val="18"/>
                <w:color w:val="auto"/>
              </w:rPr>
              <w:t>137,729</w:t>
            </w:r>
          </w:p>
        </w:tc>
        <w:tc>
          <w:tcPr>
            <w:tcW w:w="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114,220</w:t>
            </w:r>
          </w:p>
        </w:tc>
      </w:tr>
      <w:tr>
        <w:trPr>
          <w:trHeight w:val="178"/>
        </w:trPr>
        <w:tc>
          <w:tcPr>
            <w:tcW w:w="7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bl>
    <w:p>
      <w:pPr>
        <w:sectPr>
          <w:pgSz w:w="11900" w:h="16900" w:orient="portrait"/>
          <w:cols w:equalWidth="0" w:num="1">
            <w:col w:w="11420"/>
          </w:cols>
          <w:pgMar w:left="240" w:top="337" w:right="239" w:bottom="0" w:gutter="0" w:footer="0" w:header="0"/>
        </w:sectPr>
      </w:pPr>
    </w:p>
    <w:bookmarkStart w:id="16" w:name="page17"/>
    <w:bookmarkEnd w:id="16"/>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91,529</w:t>
            </w:r>
          </w:p>
        </w:tc>
        <w:tc>
          <w:tcPr>
            <w:tcW w:w="6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75,263</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6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4,295</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3,742</w:t>
            </w:r>
          </w:p>
        </w:tc>
        <w:tc>
          <w:tcPr>
            <w:tcW w:w="100" w:type="dxa"/>
            <w:vAlign w:val="bottom"/>
          </w:tcPr>
          <w:p>
            <w:pPr>
              <w:spacing w:after="0"/>
              <w:rPr>
                <w:sz w:val="18"/>
                <w:szCs w:val="18"/>
                <w:color w:val="auto"/>
              </w:rPr>
            </w:pPr>
          </w:p>
        </w:tc>
      </w:tr>
      <w:tr>
        <w:trPr>
          <w:trHeight w:val="210"/>
        </w:trPr>
        <w:tc>
          <w:tcPr>
            <w:tcW w:w="7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41,905</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35,215</w:t>
            </w:r>
          </w:p>
        </w:tc>
        <w:tc>
          <w:tcPr>
            <w:tcW w:w="12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23,362</w:t>
            </w:r>
          </w:p>
        </w:tc>
        <w:tc>
          <w:tcPr>
            <w:tcW w:w="60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19,378</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engineering</w:t>
            </w: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530</w:t>
            </w:r>
          </w:p>
        </w:tc>
        <w:tc>
          <w:tcPr>
            <w:tcW w:w="6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2,167</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expense</w:t>
            </w: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6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(339)</w:t>
            </w:r>
          </w:p>
        </w:tc>
      </w:tr>
      <w:tr>
        <w:trPr>
          <w:trHeight w:val="210"/>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6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16,006</w:t>
            </w:r>
          </w:p>
        </w:tc>
        <w:tc>
          <w:tcPr>
            <w:tcW w:w="2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120" w:type="dxa"/>
            <w:vAlign w:val="bottom"/>
            <w:gridSpan w:val="2"/>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1,075</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shd w:val="clear" w:color="auto" w:fill="CCEEFF"/>
          </w:tcPr>
          <w:p>
            <w:pPr>
              <w:spacing w:after="0"/>
              <w:rPr>
                <w:sz w:val="18"/>
                <w:szCs w:val="18"/>
                <w:color w:val="auto"/>
              </w:rPr>
            </w:pPr>
          </w:p>
        </w:tc>
      </w:tr>
      <w:tr>
        <w:trPr>
          <w:trHeight w:val="210"/>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6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2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12,926</w:t>
            </w:r>
          </w:p>
        </w:tc>
        <w:tc>
          <w:tcPr>
            <w:tcW w:w="120" w:type="dxa"/>
            <w:vAlign w:val="bottom"/>
            <w:gridSpan w:val="2"/>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5,745</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shd w:val="clear" w:color="auto" w:fill="CCEEFF"/>
          </w:tcPr>
          <w:p>
            <w:pPr>
              <w:spacing w:after="0"/>
              <w:rPr>
                <w:sz w:val="18"/>
                <w:szCs w:val="18"/>
                <w:color w:val="auto"/>
              </w:rPr>
            </w:pPr>
          </w:p>
        </w:tc>
      </w:tr>
      <w:tr>
        <w:trPr>
          <w:trHeight w:val="210"/>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6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2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 net of taxes</w:t>
            </w: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r>
      <w:tr>
        <w:trPr>
          <w:trHeight w:val="210"/>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Mistras Group, Inc.</w:t>
            </w:r>
          </w:p>
        </w:tc>
        <w:tc>
          <w:tcPr>
            <w:tcW w:w="60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2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7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EBITDA and Adjusted EBITDA, non-GAAP measures explained below, for the three months ended November 30, 2012 and 2011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90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Three months ended November 30,</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20" w:type="dxa"/>
            <w:vAlign w:val="bottom"/>
            <w:tcBorders>
              <w:bottom w:val="single" w:sz="8" w:color="auto"/>
            </w:tcBorders>
          </w:tcPr>
          <w:p>
            <w:pPr>
              <w:jc w:val="right"/>
              <w:ind w:right="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80" w:type="dxa"/>
            <w:vAlign w:val="bottom"/>
            <w:gridSpan w:val="3"/>
          </w:tcPr>
          <w:p>
            <w:pPr>
              <w:jc w:val="right"/>
              <w:ind w:right="599"/>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 and Adjusted EBITDA data</w:t>
            </w:r>
          </w:p>
        </w:tc>
        <w:tc>
          <w:tcPr>
            <w:tcW w:w="3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Mistras Group, Inc.</w:t>
            </w:r>
          </w:p>
        </w:tc>
        <w:tc>
          <w:tcPr>
            <w:tcW w:w="4180" w:type="dxa"/>
            <w:vAlign w:val="bottom"/>
            <w:gridSpan w:val="2"/>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9,163</w:t>
            </w:r>
          </w:p>
        </w:tc>
        <w:tc>
          <w:tcPr>
            <w:tcW w:w="1020" w:type="dxa"/>
            <w:vAlign w:val="bottom"/>
          </w:tcPr>
          <w:p>
            <w:pPr>
              <w:jc w:val="right"/>
              <w:ind w:right="859"/>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1,075</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5,745</w:t>
            </w:r>
          </w:p>
        </w:tc>
        <w:tc>
          <w:tcPr>
            <w:tcW w:w="10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6,462</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31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22,445</w:t>
            </w:r>
          </w:p>
        </w:tc>
        <w:tc>
          <w:tcPr>
            <w:tcW w:w="3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1,572</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expense</w:t>
            </w:r>
          </w:p>
        </w:tc>
        <w:tc>
          <w:tcPr>
            <w:tcW w:w="3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(160)</w:t>
            </w:r>
          </w:p>
        </w:tc>
        <w:tc>
          <w:tcPr>
            <w:tcW w:w="10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16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6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16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21</w:t>
            </w: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60" w:type="dxa"/>
            <w:vAlign w:val="bottom"/>
            <w:tcBorders>
              <w:bottom w:val="single" w:sz="8" w:color="010101"/>
            </w:tcBorders>
          </w:tcPr>
          <w:p>
            <w:pPr>
              <w:spacing w:after="0"/>
              <w:rPr>
                <w:sz w:val="11"/>
                <w:szCs w:val="11"/>
                <w:color w:val="auto"/>
              </w:rPr>
            </w:pPr>
          </w:p>
        </w:tc>
        <w:tc>
          <w:tcPr>
            <w:tcW w:w="4360" w:type="dxa"/>
            <w:vAlign w:val="bottom"/>
            <w:tcBorders>
              <w:bottom w:val="single" w:sz="8" w:color="010101"/>
            </w:tcBorders>
          </w:tcPr>
          <w:p>
            <w:pPr>
              <w:spacing w:after="0"/>
              <w:rPr>
                <w:sz w:val="11"/>
                <w:szCs w:val="11"/>
                <w:color w:val="auto"/>
              </w:rPr>
            </w:pPr>
          </w:p>
        </w:tc>
        <w:tc>
          <w:tcPr>
            <w:tcW w:w="316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About Non-GAAP Measures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EBITDA and Adjusted EBITDA are performance measures used by management that are not calculated in accordance with U.S. generally accepted accounting principles (GAAP). EBITDA is defined in this Quarterly Report as net income attributable to Mistras Group, Inc. plus: interest expense, provision for income taxes and depreciation and amortization. Adjusted EBITDA is defined in this Quarterly Report as net income attributable to Mistras Group, Inc. plus: interest expense, provision for income taxes, depreciation and amortization, stock-based compensation expense, and, if applicable, certain acquisition-related expenses (including adjustments to the estimated fair value of contingent consideration) and certain non-recurring items (which items are listed below or in the reconciliation table above).</w:t>
      </w:r>
    </w:p>
    <w:p>
      <w:pPr>
        <w:spacing w:after="0" w:line="188"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management uses Adjusted EBITDA as a measure of operating performance to assist in comparing performance from period to period on a consistent basis, as a measure for planning and forecasting overall expectations and for evaluating actual results against such expectations. Adjusted EBITDA is also used as a performance evaluation metric for our executive and employee incentive compensation programs.</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believe investors and other users of our financial statements benefit from the presentation of Adjusted EBITDA in evaluating our operating performance because it provides an additional tool to compare our operating performance on a consistent basis and measure underlying trends and results in our business. Adjusted EBITDA removes the impact of certain items that management believes do not directly reflect our core operations. For instance, Adjusted EBITDA generally excludes interest expense, taxes and depreciation and amortization, each of which can vary substantially from company to company depending upon accounting methods and the book value and age of assets, capital structure, capital investment cycles and the method by which assets were acquired. It also eliminates stock-based compensation, which is a non-cash expense and is excluded by management when evaluating the underlying performance of our business operations.</w:t>
      </w:r>
    </w:p>
    <w:p>
      <w:pPr>
        <w:spacing w:after="0" w:line="18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While Adjusted EBITDA is a term and financial measurement commonly used by investors and securities analysts, it has limitations. As a non-GAAP measurement, Adjusted EBITDA has no standard meaning and, therefore, may not be comparable with similar measurements for other companies. Adjusted EBITDA is generally limited as an analytical tool because it excludes charges and expenses we do incur as part of our operations. For example, Adjusted EBITDA excludes income taxes, but we generally incur significant U.S. federal, state and foreign income taxes each year and the provision for income taxes is a necessary cost. Adjusted EBITDA should not be considered in isolation or as a substitute for analyzing our results as reported under U.S. generally accepted accounting principles.</w:t>
      </w:r>
    </w:p>
    <w:p>
      <w:pPr>
        <w:spacing w:after="0" w:line="186"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Revenues were $137.7 million for the three months ended November 30, 2012 compared to $114.2 million for the three months ended November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2011. Revenues by segment for the second quarter of fiscal 2013 and 2012 were as follows:</w:t>
      </w:r>
    </w:p>
    <w:p>
      <w:pPr>
        <w:spacing w:after="0" w:line="154"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November 30,</w:t>
            </w:r>
          </w:p>
        </w:tc>
        <w:tc>
          <w:tcPr>
            <w:tcW w:w="6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84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6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3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7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68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105,213</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96,909</w:t>
            </w:r>
          </w:p>
        </w:tc>
        <w:tc>
          <w:tcPr>
            <w:tcW w:w="80" w:type="dxa"/>
            <w:vAlign w:val="bottom"/>
          </w:tcPr>
          <w:p>
            <w:pPr>
              <w:spacing w:after="0"/>
              <w:rPr>
                <w:sz w:val="18"/>
                <w:szCs w:val="18"/>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26,777</w:t>
            </w: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11,857</w:t>
            </w:r>
          </w:p>
        </w:tc>
        <w:tc>
          <w:tcPr>
            <w:tcW w:w="80" w:type="dxa"/>
            <w:vAlign w:val="bottom"/>
            <w:shd w:val="clear" w:color="auto" w:fill="CCEEFF"/>
          </w:tcPr>
          <w:p>
            <w:pPr>
              <w:spacing w:after="0"/>
              <w:rPr>
                <w:sz w:val="18"/>
                <w:szCs w:val="18"/>
                <w:color w:val="auto"/>
              </w:rPr>
            </w:pPr>
          </w:p>
        </w:tc>
      </w:tr>
      <w:tr>
        <w:trPr>
          <w:trHeight w:val="216"/>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8,439</w:t>
            </w:r>
          </w:p>
        </w:tc>
        <w:tc>
          <w:tcPr>
            <w:tcW w:w="9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9,092</w:t>
            </w:r>
          </w:p>
        </w:tc>
        <w:tc>
          <w:tcPr>
            <w:tcW w:w="80" w:type="dxa"/>
            <w:vAlign w:val="bottom"/>
          </w:tcPr>
          <w:p>
            <w:pPr>
              <w:spacing w:after="0"/>
              <w:rPr>
                <w:sz w:val="18"/>
                <w:szCs w:val="18"/>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(2,700)</w:t>
            </w:r>
          </w:p>
        </w:tc>
        <w:tc>
          <w:tcPr>
            <w:tcW w:w="9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(3,638)</w:t>
            </w:r>
          </w:p>
        </w:tc>
      </w:tr>
      <w:tr>
        <w:trPr>
          <w:trHeight w:val="210"/>
        </w:trPr>
        <w:tc>
          <w:tcPr>
            <w:tcW w:w="38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137,729</w:t>
            </w:r>
          </w:p>
        </w:tc>
        <w:tc>
          <w:tcPr>
            <w:tcW w:w="2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114,220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our growth rates for the second quarter of fiscal 2013 and 2012 were as follows:</w:t>
      </w:r>
    </w:p>
    <w:p>
      <w:pPr>
        <w:sectPr>
          <w:pgSz w:w="11900" w:h="16838" w:orient="portrait"/>
          <w:cols w:equalWidth="0" w:num="1">
            <w:col w:w="11460"/>
          </w:cols>
          <w:pgMar w:left="240" w:top="140" w:right="199" w:bottom="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4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 November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0" w:type="dxa"/>
            <w:vAlign w:val="bottom"/>
            <w:gridSpan w:val="4"/>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growth</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23,509</w:t>
            </w:r>
          </w:p>
        </w:tc>
        <w:tc>
          <w:tcPr>
            <w:tcW w:w="5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 Growth over prior year</w:t>
            </w:r>
          </w:p>
        </w:tc>
        <w:tc>
          <w:tcPr>
            <w:tcW w:w="3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Comprised of:</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organic growth</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 of acquisition growth</w:t>
            </w:r>
          </w:p>
        </w:tc>
        <w:tc>
          <w:tcPr>
            <w:tcW w:w="3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foreign exchange increase (decrease)</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Revenues increased $23.5 million, or approximately 21%, for the three months ended November 30, 2012 compared to the three months ended November 30, 2011 as a result of growth in our International and Services segments. The growth in our International segment was principally attributable to growth from our fiscal 2012 and fiscal 2013 acquisitions, while growth in our Services segment was due to a combination of organic and acquisition growth. In the second quarter of fiscal 2013, we estimate that our acquisition growth was approximately 19% compared to approximately 9% in the second quarter of fiscal 2012. For the second quarter of fiscal 2013 and 2012, we estimate that our organic growth rate was approximately 2% and 19%, respectively.</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continued to experience growth in many of our target markets during the second quarter of fiscal 2013. Oil and gas is our largest target market and represented approximately 52% of total revenues in the second quarter of fiscal 2013, compared to approximately 57% in the second quarter of fiscal 2012. Oil and gas revenue in the second quarter of fiscal 2013 increased approximately 11% over the prior year with the largest increase coming from the midstream section of the oil and gas industry. We continued to experience significant growth in most of our other target markets outside of oil and gas, including power generation, aerospace, industrial and infrastructure. Taken as a group, revenues for all target markets other than oil and gas grew approximately 33% in the second quarter of fiscal 2013 over the prior year period. Our largest customer in both periods was BP plc. (BP) and its affiliated companies, accounting for approximately 10% of our revenues in the second quarter of fiscal 2013 and approximately 17% in the second quarter of fiscal 2012. Our top ten customers represented approximately 32% of our revenues in the second quarter of fiscal 2013 and fiscal 2012.</w:t>
      </w:r>
    </w:p>
    <w:p>
      <w:pPr>
        <w:spacing w:after="0" w:line="183"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Our gross profit was $41.9 million and increased $6.7 million, or 19% in the second quarter of fiscal 2013 compared to $35.2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second quarter of fiscal 2012. Gross profit by segment for the three months ended November 30, 2012 and 2011 was as follows:</w:t>
      </w:r>
    </w:p>
    <w:p>
      <w:pPr>
        <w:spacing w:after="0" w:line="154"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80" w:type="dxa"/>
            <w:vAlign w:val="bottom"/>
            <w:tcBorders>
              <w:bottom w:val="single" w:sz="8" w:color="auto"/>
            </w:tcBorders>
            <w:gridSpan w:val="5"/>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Three months ended November 30,</w:t>
            </w:r>
          </w:p>
        </w:tc>
        <w:tc>
          <w:tcPr>
            <w:tcW w:w="5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6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0" w:type="dxa"/>
            <w:vAlign w:val="bottom"/>
          </w:tcPr>
          <w:p>
            <w:pPr>
              <w:jc w:val="right"/>
              <w:ind w:right="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25"/>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15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520" w:type="dxa"/>
            <w:vAlign w:val="bottom"/>
            <w:gridSpan w:val="2"/>
          </w:tcPr>
          <w:p>
            <w:pPr>
              <w:jc w:val="right"/>
              <w:ind w:right="84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30,692</w:t>
            </w:r>
          </w:p>
        </w:tc>
        <w:tc>
          <w:tcPr>
            <w:tcW w:w="1020" w:type="dxa"/>
            <w:vAlign w:val="bottom"/>
            <w:gridSpan w:val="2"/>
          </w:tcPr>
          <w:p>
            <w:pPr>
              <w:jc w:val="right"/>
              <w:ind w:right="88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27,053</w:t>
            </w: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(347)</w:t>
            </w:r>
          </w:p>
        </w:tc>
      </w:tr>
      <w:tr>
        <w:trPr>
          <w:trHeight w:val="210"/>
        </w:trPr>
        <w:tc>
          <w:tcPr>
            <w:tcW w:w="36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4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88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percentage of revenues, our gross profit and its components for the three months ended November 30, 2012 and 2011 were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2960" w:type="dxa"/>
            <w:vAlign w:val="bottom"/>
            <w:tcBorders>
              <w:bottom w:val="single" w:sz="8" w:color="auto"/>
            </w:tcBorders>
            <w:gridSpan w:val="4"/>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Three months ended November 30,</w:t>
            </w:r>
          </w:p>
        </w:tc>
        <w:tc>
          <w:tcPr>
            <w:tcW w:w="5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4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5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920" w:type="dxa"/>
            <w:vAlign w:val="bottom"/>
            <w:gridSpan w:val="3"/>
          </w:tcPr>
          <w:p>
            <w:pPr>
              <w:jc w:val="center"/>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41,905</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35,215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 comprised of:</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0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(66.5)%</w:t>
            </w:r>
          </w:p>
        </w:tc>
        <w:tc>
          <w:tcPr>
            <w:tcW w:w="10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0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30.4%</w:t>
            </w:r>
          </w:p>
        </w:tc>
        <w:tc>
          <w:tcPr>
            <w:tcW w:w="10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 % decrease from prior year</w:t>
            </w: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10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a percentage of revenues, our gross profit remained fairly consistent at approximately 30% for each of the second quarters of fiscal 2013 and fiscal 2012. Cost of revenues, excluding depreciation, as a percentage of revenues was 66.5% and 65.9% in the second quarter of fiscal 2013 and fiscal 2012, respectively. Depreciation expense included in the determination of gross profit for the second quarter of fiscal 2013 and fiscal 2012 was $4.3 million and $3.7 million, respectively.</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40 basis point decrease in our gross profit as a percentage of revenues was primarily attributable to the decrease in gross profit in our International segment, which relates to our fiscal 2012 acquisitions, as these companies primarily provide lower margin, traditional NDT services. Additionally, the service offerings in our International segment are increasing faster than our product sales, which also lower our gross profit margin. Also contributing to the decrease in gross profit as a percentage of revenues is a change in the mix of Products and Systems segment revenues, which in the quarter included lower margins on revenues from large inspection systems. These decreases were offset by improvements in our Services Segment utilization rates, reducing both our unbillable labor by 0.2% and our direct overtime labor by 1.3%.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Our income from operations by segment for the three months ended November 30, 2012 and 2011 were as follows:</w:t>
      </w:r>
    </w:p>
    <w:p>
      <w:pPr>
        <w:sectPr>
          <w:pgSz w:w="11900" w:h="16838" w:orient="portrait"/>
          <w:cols w:equalWidth="0" w:num="1">
            <w:col w:w="11420"/>
          </w:cols>
          <w:pgMar w:left="240" w:top="337" w:right="239" w:bottom="0" w:gutter="0" w:footer="0" w:header="0"/>
        </w:sectPr>
      </w:pPr>
    </w:p>
    <w:bookmarkStart w:id="18" w:name="page19"/>
    <w:bookmarkEnd w:id="18"/>
    <w:tbl>
      <w:tblPr>
        <w:tblLayout w:type="fixed"/>
        <w:tblInd w:w="66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80" w:type="dxa"/>
            <w:vAlign w:val="bottom"/>
            <w:tcBorders>
              <w:bottom w:val="single" w:sz="8" w:color="auto"/>
            </w:tcBorders>
            <w:gridSpan w:val="5"/>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Three months ended November 30,</w:t>
            </w:r>
          </w:p>
        </w:tc>
        <w:tc>
          <w:tcPr>
            <w:tcW w:w="5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6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0" w:type="dxa"/>
            <w:vAlign w:val="bottom"/>
          </w:tcPr>
          <w:p>
            <w:pPr>
              <w:jc w:val="right"/>
              <w:ind w:right="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25"/>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5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520" w:type="dxa"/>
            <w:vAlign w:val="bottom"/>
            <w:gridSpan w:val="2"/>
          </w:tcPr>
          <w:p>
            <w:pPr>
              <w:jc w:val="right"/>
              <w:ind w:right="84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15,861</w:t>
            </w:r>
          </w:p>
        </w:tc>
        <w:tc>
          <w:tcPr>
            <w:tcW w:w="1020" w:type="dxa"/>
            <w:vAlign w:val="bottom"/>
            <w:gridSpan w:val="2"/>
          </w:tcPr>
          <w:p>
            <w:pPr>
              <w:jc w:val="right"/>
              <w:ind w:right="88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13,616</w:t>
            </w: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(2,913)</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(3,450)</w:t>
            </w:r>
          </w:p>
        </w:tc>
      </w:tr>
      <w:tr>
        <w:trPr>
          <w:trHeight w:val="210"/>
        </w:trPr>
        <w:tc>
          <w:tcPr>
            <w:tcW w:w="36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4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16,006</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88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income from operations of $16.0 million for the second quarter of fiscal 2013 increased $1.9 million, or 14%, compared to the second quarter of fiscal 2012. As a percentage of revenues, our income from operations was approximately 12% in each of the the second quarters of fiscal 2013 and fiscal 2012, respectively.</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SG&amp;A expenses, as a percentage of revenues, was approximately 17% for each of the second quarters of fiscal 2013 and 2012, increasing approximately $4.0 million in fiscal 2013. Of this amount, SG&amp;A for companies acquired within the last twelve months accounted for approximately $3.5 million of the total increase. The increase in expense was primarily due to the cost of additional salary and other infrastructure costs to support our growth in revenues, including the addition of new locations and personnel in connection with our recent acquisitions. Excluding acquisitions, our SG&amp;A expenses included higher compensation and benefit expenses of $0.2 million over the same period in the prior year attributed to normal salary increases, as well as our investment in additional management and corporate staff to support our growth. Other increases in SG&amp;A expenses, excluding acquisitions, included an increase to the provision for doubtful accounts of approximately $0.3 million and increased marketing costs of $0.2 million. Depreciation and amortization included in the determination of income from operations for the second quarter of fiscal 2013 and fiscal 2012 was $2.2 million and $1.5 million, respectively.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Our acquisition-related expense for the second quarter of fiscal 2013 was attributed to adjustments to the estimated fair value of certain acquisition-related contingent consideration liabilities that resulted in a net increase to income from operations of $0.4 million. This was offset by $0.2 million in professional fees and other expenses in connection with our fiscal 2013 acquisition activity. Our acquisition-related expense for the second quarter of fiscal 2012 was attributed to adjustments to the estimated fair value of certain acquisition-related contingent consideration liabilities resulting in a net increase to income from operations of $0.7 million. This was offset by $0.4 million in professional fees and other expenses in connection with our fiscal 2012 acquisition activity.</w:t>
      </w:r>
    </w:p>
    <w:p>
      <w:pPr>
        <w:spacing w:after="0" w:line="1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approximately $1.1 million for each of the second quarters of fiscal 2013 and 2012, respectively. The slight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second quarter of fiscal 2013 related to higher interest accretion in the prior year quarter related to the estimated fair value of our contingent consideration liabilities in connection with our acquisitions. This was offset by an increase in average borrowings in the current year quarter.</w:t>
      </w:r>
    </w:p>
    <w:p>
      <w:pPr>
        <w:spacing w:after="0" w:line="174" w:lineRule="exact"/>
        <w:rPr>
          <w:sz w:val="20"/>
          <w:szCs w:val="20"/>
          <w:color w:val="auto"/>
        </w:rPr>
      </w:pPr>
    </w:p>
    <w:p>
      <w:pPr>
        <w:ind w:right="7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Attributable to Noncontrolling Interests, net of taxes. </w:t>
      </w:r>
      <w:r>
        <w:rPr>
          <w:rFonts w:ascii="Times New Roman" w:cs="Times New Roman" w:eastAsia="Times New Roman" w:hAnsi="Times New Roman"/>
          <w:sz w:val="18"/>
          <w:szCs w:val="18"/>
          <w:color w:val="auto"/>
        </w:rPr>
        <w:t>The net income attributable to noncontrolling interests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30, 2012 is primarily related to the net income earned by certain of our subsidiaries in Brazil and the U.K.</w:t>
      </w:r>
    </w:p>
    <w:p>
      <w:pPr>
        <w:spacing w:after="0" w:line="158"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Our effective income tax rate was approximately 38% and 39% for the three months ended November 30, 2012 and November 30, 2011,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decrease was primarily due to changes in the geographic mix of earnings in various state and foreign jurisdictions, partially offset by an increase related to the impact of certain permanent tax differences.</w:t>
      </w:r>
    </w:p>
    <w:p>
      <w:pPr>
        <w:spacing w:after="0" w:line="17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Income Attributable to Mistras Group, Inc. </w:t>
      </w:r>
      <w:r>
        <w:rPr>
          <w:rFonts w:ascii="Times New Roman" w:cs="Times New Roman" w:eastAsia="Times New Roman" w:hAnsi="Times New Roman"/>
          <w:sz w:val="18"/>
          <w:szCs w:val="18"/>
          <w:color w:val="auto"/>
        </w:rPr>
        <w:t>Net income attributable to Mistras Group, Inc. for the second quarter of fiscal 2013 was $9.2 million, or 7%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revenues, an increase of $1.2 million over the second quarter of fiscal 2012, which was $8.0 million, or 7% of revenues. The increase in net income was primarily the result of our revenue growth, partially offset by increases in our SG&amp;A expenses, depreciation expense, and our provision for income taxes.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November 30, 2012 compared to the six months ended November 30, 2011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results of operations for the six months ended November 30, 2012 and 2011 were as follows:</w:t>
      </w:r>
    </w:p>
    <w:p>
      <w:pPr>
        <w:spacing w:after="0" w:line="219" w:lineRule="exact"/>
        <w:rPr>
          <w:sz w:val="20"/>
          <w:szCs w:val="20"/>
          <w:color w:val="auto"/>
        </w:rPr>
      </w:pPr>
    </w:p>
    <w:tbl>
      <w:tblPr>
        <w:tblLayout w:type="fixed"/>
        <w:tblInd w:w="26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Six months ended November 30,</w:t>
            </w:r>
          </w:p>
        </w:tc>
        <w:tc>
          <w:tcPr>
            <w:tcW w:w="6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5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6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60" w:type="dxa"/>
            <w:vAlign w:val="bottom"/>
            <w:gridSpan w:val="3"/>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251,116</w:t>
            </w:r>
          </w:p>
        </w:tc>
        <w:tc>
          <w:tcPr>
            <w:tcW w:w="960" w:type="dxa"/>
            <w:vAlign w:val="bottom"/>
          </w:tcPr>
          <w:p>
            <w:pPr>
              <w:jc w:val="right"/>
              <w:ind w:right="79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205,667</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167,055</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135,790</w:t>
            </w: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8,439</w:t>
            </w:r>
          </w:p>
        </w:tc>
        <w:tc>
          <w:tcPr>
            <w:tcW w:w="9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tcPr>
          <w:p>
            <w:pPr>
              <w:spacing w:after="0"/>
              <w:rPr>
                <w:sz w:val="18"/>
                <w:szCs w:val="18"/>
                <w:color w:val="auto"/>
              </w:rPr>
            </w:pP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75,622</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46,854</w:t>
            </w:r>
          </w:p>
        </w:tc>
        <w:tc>
          <w:tcPr>
            <w:tcW w:w="9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38,759</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engineering</w:t>
            </w:r>
          </w:p>
        </w:tc>
        <w:tc>
          <w:tcPr>
            <w:tcW w:w="9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1,047</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4,062</w:t>
            </w:r>
          </w:p>
        </w:tc>
        <w:tc>
          <w:tcPr>
            <w:tcW w:w="9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expense</w:t>
            </w:r>
          </w:p>
        </w:tc>
        <w:tc>
          <w:tcPr>
            <w:tcW w:w="9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(339)</w:t>
            </w:r>
          </w:p>
        </w:tc>
        <w:tc>
          <w:tcPr>
            <w:tcW w:w="9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(339)</w:t>
            </w:r>
          </w:p>
        </w:tc>
      </w:tr>
      <w:tr>
        <w:trPr>
          <w:trHeight w:val="210"/>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23,998</w:t>
            </w:r>
          </w:p>
        </w:tc>
        <w:tc>
          <w:tcPr>
            <w:tcW w:w="3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2,121</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shd w:val="clear" w:color="auto" w:fill="CCEEFF"/>
          </w:tcPr>
          <w:p>
            <w:pPr>
              <w:spacing w:after="0"/>
              <w:rPr>
                <w:sz w:val="18"/>
                <w:szCs w:val="18"/>
                <w:color w:val="auto"/>
              </w:rPr>
            </w:pPr>
          </w:p>
        </w:tc>
      </w:tr>
      <w:tr>
        <w:trPr>
          <w:trHeight w:val="210"/>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21,877</w:t>
            </w:r>
          </w:p>
        </w:tc>
        <w:tc>
          <w:tcPr>
            <w:tcW w:w="3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8,400</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7,124</w:t>
            </w:r>
          </w:p>
        </w:tc>
        <w:tc>
          <w:tcPr>
            <w:tcW w:w="100" w:type="dxa"/>
            <w:vAlign w:val="bottom"/>
            <w:shd w:val="clear" w:color="auto" w:fill="CCEEFF"/>
          </w:tcPr>
          <w:p>
            <w:pPr>
              <w:spacing w:after="0"/>
              <w:rPr>
                <w:sz w:val="18"/>
                <w:szCs w:val="18"/>
                <w:color w:val="auto"/>
              </w:rPr>
            </w:pPr>
          </w:p>
        </w:tc>
      </w:tr>
      <w:tr>
        <w:trPr>
          <w:trHeight w:val="210"/>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13,477</w:t>
            </w:r>
          </w:p>
        </w:tc>
        <w:tc>
          <w:tcPr>
            <w:tcW w:w="3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 net of taxes</w:t>
            </w:r>
          </w:p>
        </w:tc>
        <w:tc>
          <w:tcPr>
            <w:tcW w:w="9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8"/>
                <w:szCs w:val="18"/>
                <w:color w:val="auto"/>
              </w:rPr>
            </w:pPr>
          </w:p>
        </w:tc>
      </w:tr>
      <w:tr>
        <w:trPr>
          <w:trHeight w:val="210"/>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Mistras Group, Inc.</w:t>
            </w:r>
          </w:p>
        </w:tc>
        <w:tc>
          <w:tcPr>
            <w:tcW w:w="980" w:type="dxa"/>
            <w:vAlign w:val="bottom"/>
            <w:tcBorders>
              <w:top w:val="single" w:sz="8" w:color="auto"/>
              <w:bottom w:val="single" w:sz="8" w:color="auto"/>
            </w:tcBorders>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13,444</w:t>
            </w:r>
          </w:p>
        </w:tc>
        <w:tc>
          <w:tcPr>
            <w:tcW w:w="3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EBITDA and Adjusted EBITDA, non-GAAP measures explained below, for the six months ended November 30, 2012 and 2011, were as follows:</w:t>
      </w:r>
    </w:p>
    <w:p>
      <w:pPr>
        <w:sectPr>
          <w:pgSz w:w="11900" w:h="16838" w:orient="portrait"/>
          <w:cols w:equalWidth="0" w:num="1">
            <w:col w:w="11400"/>
          </w:cols>
          <w:pgMar w:left="240" w:top="331" w:right="259" w:bottom="0" w:gutter="0" w:footer="0" w:header="0"/>
        </w:sectPr>
      </w:pPr>
    </w:p>
    <w:bookmarkStart w:id="19" w:name="page20"/>
    <w:bookmarkEnd w:id="19"/>
    <w:p>
      <w:pPr>
        <w:spacing w:after="0" w:line="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40" w:type="dxa"/>
            <w:vAlign w:val="bottom"/>
          </w:tcPr>
          <w:p>
            <w:pPr>
              <w:spacing w:after="0"/>
              <w:rPr>
                <w:sz w:val="15"/>
                <w:szCs w:val="15"/>
                <w:color w:val="auto"/>
              </w:rPr>
            </w:pPr>
          </w:p>
        </w:tc>
        <w:tc>
          <w:tcPr>
            <w:tcW w:w="306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Six months ended November 30,</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240" w:type="dxa"/>
            <w:vAlign w:val="bottom"/>
          </w:tcPr>
          <w:p>
            <w:pPr>
              <w:spacing w:after="0"/>
              <w:rPr>
                <w:sz w:val="12"/>
                <w:szCs w:val="12"/>
                <w:color w:val="auto"/>
              </w:rPr>
            </w:pPr>
          </w:p>
        </w:tc>
        <w:tc>
          <w:tcPr>
            <w:tcW w:w="108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980" w:type="dxa"/>
            <w:vAlign w:val="bottom"/>
            <w:gridSpan w:val="3"/>
          </w:tcPr>
          <w:p>
            <w:pPr>
              <w:jc w:val="right"/>
              <w:ind w:right="656"/>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 and Adjusted EBITDA data</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Mistras Group, Inc.</w:t>
            </w:r>
          </w:p>
        </w:tc>
        <w:tc>
          <w:tcPr>
            <w:tcW w:w="1080" w:type="dxa"/>
            <w:vAlign w:val="bottom"/>
          </w:tcPr>
          <w:p>
            <w:pPr>
              <w:jc w:val="right"/>
              <w:ind w:right="92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13,444</w:t>
            </w: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11,184</w:t>
            </w: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2,121</w:t>
            </w:r>
          </w:p>
        </w:tc>
        <w:tc>
          <w:tcPr>
            <w:tcW w:w="1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1,806</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8,400</w:t>
            </w:r>
          </w:p>
        </w:tc>
        <w:tc>
          <w:tcPr>
            <w:tcW w:w="1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7,124</w:t>
            </w: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12,501</w:t>
            </w:r>
          </w:p>
        </w:tc>
        <w:tc>
          <w:tcPr>
            <w:tcW w:w="1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10,224</w:t>
            </w:r>
          </w:p>
        </w:tc>
      </w:tr>
      <w:tr>
        <w:trPr>
          <w:trHeight w:val="21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0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36,466</w:t>
            </w: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30,338</w:t>
            </w:r>
          </w:p>
        </w:tc>
        <w:tc>
          <w:tcPr>
            <w:tcW w:w="12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3,206</w:t>
            </w:r>
          </w:p>
        </w:tc>
        <w:tc>
          <w:tcPr>
            <w:tcW w:w="1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2,547</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expense</w:t>
            </w:r>
          </w:p>
        </w:tc>
        <w:tc>
          <w:tcPr>
            <w:tcW w:w="10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w:t>
            </w:r>
          </w:p>
        </w:tc>
        <w:tc>
          <w:tcPr>
            <w:tcW w:w="1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w:t>
            </w:r>
          </w:p>
        </w:tc>
      </w:tr>
      <w:tr>
        <w:trPr>
          <w:trHeight w:val="210"/>
        </w:trPr>
        <w:tc>
          <w:tcPr>
            <w:tcW w:w="7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80" w:type="dxa"/>
            <w:vAlign w:val="bottom"/>
            <w:tcBorders>
              <w:top w:val="single" w:sz="8" w:color="auto"/>
              <w:bottom w:val="single" w:sz="8" w:color="auto"/>
            </w:tcBorders>
            <w:shd w:val="clear" w:color="auto" w:fill="CCEEFF"/>
          </w:tcPr>
          <w:p>
            <w:pPr>
              <w:jc w:val="right"/>
              <w:ind w:right="92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explanation and definition of EBITDA and Adjusted EBITDA above on page 22.</w:t>
      </w:r>
    </w:p>
    <w:p>
      <w:pPr>
        <w:spacing w:after="0" w:line="223"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Revenues were $251.1 million for the six months ended November 30, 2012 compared to $205.7 million for the six months ended November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2011. Revenues by segment for the six months ended November 30, 2012 and 2011 were as follows:</w:t>
      </w:r>
    </w:p>
    <w:p>
      <w:pPr>
        <w:spacing w:after="0" w:line="154"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304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Six months ended November 30,</w:t>
            </w: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18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4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060" w:type="dxa"/>
            <w:vAlign w:val="bottom"/>
          </w:tcPr>
          <w:p>
            <w:pPr>
              <w:jc w:val="right"/>
              <w:ind w:right="90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187,610</w:t>
            </w:r>
          </w:p>
        </w:tc>
        <w:tc>
          <w:tcPr>
            <w:tcW w:w="1040" w:type="dxa"/>
            <w:vAlign w:val="bottom"/>
          </w:tcPr>
          <w:p>
            <w:pPr>
              <w:jc w:val="right"/>
              <w:ind w:right="879"/>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172,598</w:t>
            </w:r>
          </w:p>
        </w:tc>
        <w:tc>
          <w:tcPr>
            <w:tcW w:w="8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0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51,206</w:t>
            </w:r>
          </w:p>
        </w:tc>
        <w:tc>
          <w:tcPr>
            <w:tcW w:w="10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21,630</w:t>
            </w: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10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17,973</w:t>
            </w:r>
          </w:p>
        </w:tc>
        <w:tc>
          <w:tcPr>
            <w:tcW w:w="104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16,605</w:t>
            </w: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0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(5,673)</w:t>
            </w:r>
          </w:p>
        </w:tc>
        <w:tc>
          <w:tcPr>
            <w:tcW w:w="10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(5,166)</w:t>
            </w:r>
          </w:p>
        </w:tc>
      </w:tr>
      <w:tr>
        <w:trPr>
          <w:trHeight w:val="210"/>
        </w:trPr>
        <w:tc>
          <w:tcPr>
            <w:tcW w:w="41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90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251,116</w:t>
            </w:r>
          </w:p>
        </w:tc>
        <w:tc>
          <w:tcPr>
            <w:tcW w:w="3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7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205,667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our growth rates for the six months ended November 30, 2012 and 2011, respectively, were as follows:</w:t>
      </w:r>
    </w:p>
    <w:p>
      <w:pPr>
        <w:spacing w:after="0" w:line="219"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Six months ended November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1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633"/>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00" w:type="dxa"/>
            <w:vAlign w:val="bottom"/>
            <w:gridSpan w:val="3"/>
          </w:tcPr>
          <w:p>
            <w:pPr>
              <w:jc w:val="center"/>
              <w:ind w:left="696"/>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growth</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45,449</w:t>
            </w:r>
          </w:p>
        </w:tc>
        <w:tc>
          <w:tcPr>
            <w:tcW w:w="5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 Growth over prior year</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22.1%</w:t>
            </w:r>
          </w:p>
        </w:tc>
        <w:tc>
          <w:tcPr>
            <w:tcW w:w="5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Comprised of:</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organic growth</w:t>
            </w: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5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 of acquisition growth</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w:t>
            </w:r>
          </w:p>
        </w:tc>
        <w:tc>
          <w:tcPr>
            <w:tcW w:w="5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foreign exchange increase (decrease)</w:t>
            </w: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(0.9)%</w:t>
            </w:r>
          </w:p>
        </w:tc>
        <w:tc>
          <w:tcPr>
            <w:tcW w:w="5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22.1%</w:t>
            </w:r>
          </w:p>
        </w:tc>
        <w:tc>
          <w:tcPr>
            <w:tcW w:w="5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Revenues increased $45.4 million, or approximately 22%, for the six months ended November 30, 2012 compared to the six months ended November 30, 2011 as a result of growth in all our segments, but principally attributable to growth in our International segment. Our International segment revenue growth primarily resulted from our fiscal 2012 acquisitions. For the six months ended November 30, 2012, we estimate that our acquisition growth was approximately 18% compared to approximately 10%, in the six months ended November 30, 2011. For the six months ended November 30, 2012 and 2011, we estimate that our organic growth rate was approximately 5% and 19%, respectively.</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continued to experience growth in many of our target markets during the first six months of fiscal 2013. Oil and gas is our largest target market and in the first six months of fiscal 2013 represented approximately 50% of total revenues, compared to approximately 56% in the comparable period of fiscal 2012. Oil and gas revenue in the first six months of</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fiscal 2013 increased approximately 8% over the prior year period with the largest increases coming from the midstream section of the oil and gas industry. We also experienced growth in several of our other target markets outside of oil and gas, including power generation, aerospace and defense, industrial, infrastructure and process industries, which include chemical and pharmaceutical. Taken as a group, revenues for all target markets other than oil and gas grew approximately 40% in the six months ended November 30, 2012 over the comparable prior year period. Our largest customer in both periods was BP plc., (BP), accounting for approximately 11% and 16% of our revenues for the six months ended November 30, 2012 and 2011, respectively. Our top ten customers represented approximately 31% and 41% of our revenues for the six months ended November 30, 2012 and 2011.</w:t>
      </w:r>
    </w:p>
    <w:p>
      <w:pPr>
        <w:spacing w:after="0" w:line="186" w:lineRule="exact"/>
        <w:rPr>
          <w:sz w:val="20"/>
          <w:szCs w:val="20"/>
          <w:color w:val="auto"/>
        </w:rPr>
      </w:pPr>
    </w:p>
    <w:p>
      <w:pPr>
        <w:jc w:val="both"/>
        <w:ind w:right="260"/>
        <w:spacing w:after="0" w:line="315"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gross profit was $75.6 million and increased $13.0 million, or 21%, during the six months ended November 30, 2012 compared to $62.6</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during the six months ended November 30, 2011. Gross profit by segment for the six months ended November 30, 2012 and 2011 were as follows:</w:t>
      </w:r>
    </w:p>
    <w:p>
      <w:pPr>
        <w:spacing w:after="0" w:line="131"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3100" w:type="dxa"/>
            <w:vAlign w:val="bottom"/>
            <w:tcBorders>
              <w:bottom w:val="single" w:sz="8" w:color="auto"/>
            </w:tcBorders>
            <w:gridSpan w:val="3"/>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Six months ended November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9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1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7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9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0" w:type="dxa"/>
            <w:vAlign w:val="bottom"/>
            <w:gridSpan w:val="2"/>
          </w:tcPr>
          <w:p>
            <w:pPr>
              <w:jc w:val="center"/>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326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51,632</w:t>
            </w:r>
          </w:p>
        </w:tc>
        <w:tc>
          <w:tcPr>
            <w:tcW w:w="1240" w:type="dxa"/>
            <w:vAlign w:val="bottom"/>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47,361</w:t>
            </w:r>
          </w:p>
        </w:tc>
      </w:tr>
      <w:tr>
        <w:trPr>
          <w:trHeight w:val="216"/>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14,380</w:t>
            </w:r>
          </w:p>
        </w:tc>
        <w:tc>
          <w:tcPr>
            <w:tcW w:w="1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7,677</w:t>
            </w:r>
          </w:p>
        </w:tc>
      </w:tr>
      <w:tr>
        <w:trPr>
          <w:trHeight w:val="239"/>
        </w:trPr>
        <w:tc>
          <w:tcPr>
            <w:tcW w:w="3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216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jc w:val="right"/>
              <w:ind w:right="74"/>
              <w:spacing w:after="0"/>
              <w:rPr>
                <w:sz w:val="20"/>
                <w:szCs w:val="20"/>
                <w:color w:val="auto"/>
              </w:rPr>
            </w:pPr>
            <w:r>
              <w:rPr>
                <w:rFonts w:ascii="Times New Roman" w:cs="Times New Roman" w:eastAsia="Times New Roman" w:hAnsi="Times New Roman"/>
                <w:sz w:val="18"/>
                <w:szCs w:val="18"/>
                <w:color w:val="auto"/>
              </w:rPr>
              <w:t>9,220</w:t>
            </w:r>
          </w:p>
        </w:tc>
        <w:tc>
          <w:tcPr>
            <w:tcW w:w="124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8,014</w:t>
            </w:r>
          </w:p>
        </w:tc>
      </w:tr>
    </w:tbl>
    <w:p>
      <w:pPr>
        <w:sectPr>
          <w:pgSz w:w="11900" w:h="16900" w:orient="portrait"/>
          <w:cols w:equalWidth="0" w:num="1">
            <w:col w:w="11400"/>
          </w:cols>
          <w:pgMar w:left="240" w:top="121" w:right="259" w:bottom="0" w:gutter="0" w:footer="0" w:header="0"/>
        </w:sectPr>
      </w:pPr>
    </w:p>
    <w:bookmarkStart w:id="20" w:name="page21"/>
    <w:bookmarkEnd w:id="20"/>
    <w:p>
      <w:pPr>
        <w:spacing w:after="0" w:line="9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720" w:type="dxa"/>
            <w:vAlign w:val="bottom"/>
            <w:gridSpan w:val="2"/>
            <w:shd w:val="clear" w:color="auto" w:fill="CCEEFF"/>
          </w:tcPr>
          <w:p>
            <w:pPr>
              <w:jc w:val="right"/>
              <w:ind w:right="4495"/>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390</w:t>
            </w:r>
          </w:p>
        </w:tc>
        <w:tc>
          <w:tcPr>
            <w:tcW w:w="6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(417)</w:t>
            </w:r>
          </w:p>
        </w:tc>
      </w:tr>
      <w:tr>
        <w:trPr>
          <w:trHeight w:val="210"/>
        </w:trPr>
        <w:tc>
          <w:tcPr>
            <w:tcW w:w="60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75,622</w:t>
            </w:r>
          </w:p>
        </w:tc>
        <w:tc>
          <w:tcPr>
            <w:tcW w:w="3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62,635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percentage of revenues, our gross profit and its components for the six months ended November 30, 2012 and 2011, respectively, were as follows:</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3080" w:type="dxa"/>
            <w:vAlign w:val="bottom"/>
            <w:tcBorders>
              <w:bottom w:val="single" w:sz="8" w:color="auto"/>
            </w:tcBorders>
            <w:gridSpan w:val="4"/>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Six months ended November 30,</w:t>
            </w:r>
          </w:p>
        </w:tc>
        <w:tc>
          <w:tcPr>
            <w:tcW w:w="6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100" w:type="dxa"/>
            <w:vAlign w:val="bottom"/>
            <w:tcBorders>
              <w:bottom w:val="single" w:sz="8" w:color="auto"/>
            </w:tcBorders>
          </w:tcPr>
          <w:p>
            <w:pPr>
              <w:jc w:val="right"/>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980" w:type="dxa"/>
            <w:vAlign w:val="bottom"/>
            <w:gridSpan w:val="3"/>
          </w:tcPr>
          <w:p>
            <w:pPr>
              <w:jc w:val="center"/>
              <w:ind w:right="442"/>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75,622</w:t>
            </w:r>
          </w:p>
        </w:tc>
        <w:tc>
          <w:tcPr>
            <w:tcW w:w="1100" w:type="dxa"/>
            <w:vAlign w:val="bottom"/>
            <w:shd w:val="clear" w:color="auto" w:fill="CCEEFF"/>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62,635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 comprised of:</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(66.6)%</w:t>
            </w:r>
          </w:p>
        </w:tc>
        <w:tc>
          <w:tcPr>
            <w:tcW w:w="1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1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w:t>
            </w:r>
          </w:p>
        </w:tc>
        <w:tc>
          <w:tcPr>
            <w:tcW w:w="1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Gross profit % decrease from prior year</w:t>
            </w:r>
          </w:p>
        </w:tc>
        <w:tc>
          <w:tcPr>
            <w:tcW w:w="1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1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a percentage of revenues, our gross profit decreased 50 basis points to approximately 30.0% in the first six months of fiscal 2013 compared to the comparable prior year period. Cost of revenues, excluding depreciation, as a percentage of revenues was approximately 67% and 66% in the six months ended November 30, 2012 and 2011, respectively. Depreciation expense included in the determination of gross profit for the six months ended November 30, 2012 and 2011 was $8.4 million and $7.2 million, respectively.</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50 basis point decrease in our gross profit as a percentage of revenues was primarily attributable to decrease in gross profit in our International segment, which relates to our fiscal 2012 acquisitions, as these companies primarily provide lower margin, traditional NDT services. Additionally, the service offerings in our International segment are increasing faster than our product sales, which also lowers our gross profit margin. These decreases were offset by improvements in our Products and Systems segment due to a change in the mix of overall products sales in the six months ended November 30, 2012 compared to the prior year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Our income from operations by segment for the six months ended November 30, 2012 and 2011</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as follows:</w:t>
      </w:r>
    </w:p>
    <w:p>
      <w:pPr>
        <w:spacing w:after="0" w:line="219"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10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Six months ended November 30,</w:t>
            </w: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7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0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6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37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0" w:type="dxa"/>
            <w:vAlign w:val="bottom"/>
            <w:gridSpan w:val="3"/>
          </w:tcPr>
          <w:p>
            <w:pPr>
              <w:jc w:val="right"/>
              <w:ind w:right="676"/>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680" w:type="dxa"/>
            <w:vAlign w:val="bottom"/>
            <w:gridSpan w:val="2"/>
          </w:tcPr>
          <w:p>
            <w:pPr>
              <w:jc w:val="right"/>
              <w:ind w:right="92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22,684</w:t>
            </w: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20,776</w:t>
            </w:r>
          </w:p>
        </w:tc>
        <w:tc>
          <w:tcPr>
            <w:tcW w:w="8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2,882</w:t>
            </w:r>
          </w:p>
        </w:tc>
        <w:tc>
          <w:tcPr>
            <w:tcW w:w="1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2,090</w:t>
            </w:r>
          </w:p>
        </w:tc>
        <w:tc>
          <w:tcPr>
            <w:tcW w:w="80" w:type="dxa"/>
            <w:vAlign w:val="bottom"/>
            <w:shd w:val="clear" w:color="auto" w:fill="CCEEFF"/>
          </w:tcPr>
          <w:p>
            <w:pPr>
              <w:spacing w:after="0"/>
              <w:rPr>
                <w:sz w:val="18"/>
                <w:szCs w:val="18"/>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4,936</w:t>
            </w:r>
          </w:p>
        </w:tc>
        <w:tc>
          <w:tcPr>
            <w:tcW w:w="1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3,562</w:t>
            </w:r>
          </w:p>
        </w:tc>
        <w:tc>
          <w:tcPr>
            <w:tcW w:w="8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(6,504)</w:t>
            </w:r>
          </w:p>
        </w:tc>
        <w:tc>
          <w:tcPr>
            <w:tcW w:w="1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(6,386)</w:t>
            </w:r>
          </w:p>
        </w:tc>
      </w:tr>
      <w:tr>
        <w:trPr>
          <w:trHeight w:val="210"/>
        </w:trPr>
        <w:tc>
          <w:tcPr>
            <w:tcW w:w="3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92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23,998</w:t>
            </w:r>
          </w:p>
        </w:tc>
        <w:tc>
          <w:tcPr>
            <w:tcW w:w="2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income from operations of $24.0 million for the six months November 30, 2012 increased $4.0 million, or 20%, compared to $20.0 million for the six months ended November 30, 2011. As a percentage of revenues, our income from operations was approximately 10% for each of the six months ended November 30, 2012 and 2011, respectively.</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SG&amp;A expenses, as a percentage of revenues, was approximately 19% for each of the six month periods ended November 31, 2012 and 2011, increasing approximately $8.1 million in fiscal 2013. Of this amount, SG&amp;A for companies acquired within the last twelve months accounted for approximately $5.4 million of the total increase. The increase in expense was primarily due to the cost of additional salary and other infrastructure costs to support our growth in revenues, including the addition of new locations and personnel in connection with our recent acquisitions. Excluding acquisitions, our SG&amp;A expenses included higher compensation and benefit expenses of $1.4 million over the same period in the prior year attributed to normal salary increases, as well as our investment in additional management and corporate staff to support our growth. Other increases in SG&amp;A expenses, excluding acquisitions, included increased stock compensation costs of $0.7 million, marketing costs of $0.3 million and professional fees of $0.2 million. Depreciation and amortization included in the determination of income from operations for the six months ended November 30, 2012 and 2011 was $4.1 million, or 2% of revenues, and $3.0 million, or 1% of revenues, respectively.</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acquisition-related expense for the six months ended November 30, 2012 resulted from adjustments to the estimated fair value of certain acquisition-related contingent consideration liabilities that resulted in a net increase to income from operations of $1.2 million. This was offset by $0.9 million in professional fees and other expenses in connection with our fiscal 2013 acquisition activity. Our acquisition-related expense for the six months ended November 30, 2011 resulted from adjustments to the estimated fair value of certain acquisition-related contingent consideration liabilities resulting in a net increase to income from operations of $0.7 million. This was offset by $0.4 million in professional fees and other expenses in connection with our fiscal 2012 acquisition activity.</w:t>
      </w:r>
    </w:p>
    <w:p>
      <w:pPr>
        <w:spacing w:after="0" w:line="18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for the six months ended November 30, 2012 was $2.1 million, an increase of $0.3 million when compared to the prior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The increase related to an increase in average borrowings in the current year period compared to the prior year and higher interest accretion in fiscal 2012 from the estimated fair value of our contingent consideration liabilities related to our acquisitions.</w:t>
      </w:r>
    </w:p>
    <w:p>
      <w:pPr>
        <w:spacing w:after="0" w:line="174" w:lineRule="exact"/>
        <w:rPr>
          <w:sz w:val="20"/>
          <w:szCs w:val="20"/>
          <w:color w:val="auto"/>
        </w:rPr>
      </w:pPr>
    </w:p>
    <w:p>
      <w:pPr>
        <w:ind w:right="9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Attributable to Noncontrolling Interests, net of taxes. </w:t>
      </w:r>
      <w:r>
        <w:rPr>
          <w:rFonts w:ascii="Times New Roman" w:cs="Times New Roman" w:eastAsia="Times New Roman" w:hAnsi="Times New Roman"/>
          <w:sz w:val="18"/>
          <w:szCs w:val="18"/>
          <w:color w:val="auto"/>
        </w:rPr>
        <w:t>The net income attributable to noncontrolling interests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30, 2012 and 2011 is primarily related to the net income earned by certain of our subsidiaries in Russia and the U.K.</w:t>
      </w:r>
    </w:p>
    <w:p>
      <w:pPr>
        <w:spacing w:after="0" w:line="158" w:lineRule="exact"/>
        <w:rPr>
          <w:sz w:val="20"/>
          <w:szCs w:val="20"/>
          <w:color w:val="auto"/>
        </w:rPr>
      </w:pPr>
    </w:p>
    <w:p>
      <w:pPr>
        <w:ind w:right="36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Income Taxes. </w:t>
      </w:r>
      <w:r>
        <w:rPr>
          <w:rFonts w:ascii="Times New Roman" w:cs="Times New Roman" w:eastAsia="Times New Roman" w:hAnsi="Times New Roman"/>
          <w:sz w:val="17"/>
          <w:szCs w:val="17"/>
          <w:color w:val="auto"/>
        </w:rPr>
        <w:t>Our effective income tax rate was approximately 38% and 39% for the six months ended November 30, 2012 and November 30, 2011,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The decrease was primarily due to changes in the geographic mix of earnings in various state and foreign jurisdictions, partially offset by an</w:t>
      </w:r>
    </w:p>
    <w:p>
      <w:pPr>
        <w:sectPr>
          <w:pgSz w:w="11900" w:h="16931" w:orient="portrait"/>
          <w:cols w:equalWidth="0" w:num="1">
            <w:col w:w="11400"/>
          </w:cols>
          <w:pgMar w:left="240" w:top="140" w:right="259" w:bottom="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increase related to the impact of certain permanent tax differences.</w:t>
      </w:r>
    </w:p>
    <w:p>
      <w:pPr>
        <w:spacing w:after="0" w:line="22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Income Attributable to Mistras Group, Inc. </w:t>
      </w:r>
      <w:r>
        <w:rPr>
          <w:rFonts w:ascii="Times New Roman" w:cs="Times New Roman" w:eastAsia="Times New Roman" w:hAnsi="Times New Roman"/>
          <w:sz w:val="18"/>
          <w:szCs w:val="18"/>
          <w:color w:val="auto"/>
        </w:rPr>
        <w:t>Net income attributable to Mistras Group, Inc. for the six months ended November 30, 2012 was $13.4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 increase of $2.3 million over net income attributable to Mistras Group, Inc. for the six months ended November 30, 2011, which was $11.2 million, each representing 5% of revenues. The increase in net income was primarily the result of our revenue growth, partially offset by increases in our SG&amp;A expenses, depreciation expense and our provision for income taxes.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flows are summarized in the table below:</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4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Six months ended November 30,</w:t>
            </w:r>
          </w:p>
        </w:tc>
        <w:tc>
          <w:tcPr>
            <w:tcW w:w="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4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60" w:type="dxa"/>
            <w:vAlign w:val="bottom"/>
            <w:tcBorders>
              <w:bottom w:val="single" w:sz="8" w:color="auto"/>
            </w:tcBorders>
          </w:tcPr>
          <w:p>
            <w:pPr>
              <w:jc w:val="right"/>
              <w:ind w:right="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6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4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80" w:type="dxa"/>
            <w:vAlign w:val="bottom"/>
            <w:gridSpan w:val="3"/>
          </w:tcPr>
          <w:p>
            <w:pPr>
              <w:jc w:val="right"/>
              <w:ind w:right="639"/>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660" w:type="dxa"/>
            <w:vAlign w:val="bottom"/>
            <w:gridSpan w:val="2"/>
          </w:tcPr>
          <w:p>
            <w:pPr>
              <w:jc w:val="right"/>
              <w:ind w:right="90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27,396</w:t>
            </w:r>
          </w:p>
        </w:tc>
        <w:tc>
          <w:tcPr>
            <w:tcW w:w="1060" w:type="dxa"/>
            <w:vAlign w:val="bottom"/>
          </w:tcPr>
          <w:p>
            <w:pPr>
              <w:jc w:val="right"/>
              <w:ind w:right="89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(32,303)</w:t>
            </w:r>
          </w:p>
        </w:tc>
        <w:tc>
          <w:tcPr>
            <w:tcW w:w="10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(18,199)</w:t>
            </w: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4,644</w:t>
            </w:r>
          </w:p>
        </w:tc>
        <w:tc>
          <w:tcPr>
            <w:tcW w:w="106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12,286</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w:t>
            </w:r>
          </w:p>
        </w:tc>
        <w:tc>
          <w:tcPr>
            <w:tcW w:w="10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600" w:type="dxa"/>
            <w:vAlign w:val="bottom"/>
          </w:tcPr>
          <w:p>
            <w:pPr>
              <w:spacing w:after="0"/>
              <w:rPr>
                <w:sz w:val="19"/>
                <w:szCs w:val="19"/>
                <w:color w:val="auto"/>
              </w:rPr>
            </w:pPr>
          </w:p>
        </w:tc>
        <w:tc>
          <w:tcPr>
            <w:tcW w:w="1060" w:type="dxa"/>
            <w:vAlign w:val="bottom"/>
            <w:tcBorders>
              <w:top w:val="single" w:sz="8" w:color="auto"/>
            </w:tcBorders>
          </w:tcPr>
          <w:p>
            <w:pPr>
              <w:jc w:val="right"/>
              <w:ind w:right="90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tcPr>
          <w:p>
            <w:pPr>
              <w:jc w:val="right"/>
              <w:ind w:right="89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six months ended November 30, 2012, cash provided by our operating activities was $27.4 million, an increase of $27.0 million from the comparable period of fiscal 2012. Positive operating cash flow was primarily attributable to higher net income, excluding depreciation, amortization and other non-cash expenses of $30.1 million. In addition, the Company significantly reduced its investment in operating assets and liabilities, net of acquisitions, during the period through better management of accounts receivable and other elements of working capital, which also contributed to the increase. Also, the Company had approximately $2.9 million in lower tax payments in fiscal 2013 due to a deferral in the timing of estimated tax payments granted by the Internal Revenue Service related to the hurricane in the northeast United States in October 2012.</w:t>
      </w:r>
    </w:p>
    <w:p>
      <w:pPr>
        <w:spacing w:after="0" w:line="18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six months ended November 30, 2011, cash provided by our operating activities was $0.4 million, a decrease of $8.6 million from the comparable period of fiscal 2011. Positive operating cash flow was primarily attributable to higher net income, excluding depreciation, amortization and other non-cash expenses of $24.5 million offset by $24.0 million of cash utilized to fund an increase in our working capital, which primarily related to an increase in our trade accounts receivable.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During the six months ended November 30, 2012, cash used in investing activities was $32.3 million, an increase of $14.1 million from the comparable period of fiscal 2012. Cash used in investing activities included our acquisition of an asset protection company in Germany for cash payments aggregating $27.0 million, net of cash acquired. Also contributing to the increase were cash purchases of property, plant and equipment of $5.2 million, which were related to equipment used by our technicians.</w:t>
      </w:r>
    </w:p>
    <w:p>
      <w:pPr>
        <w:spacing w:after="0" w:line="180"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During the six months ended November 30, 2011, cash used in investing activities was $18.2 million, a decrease of $2.6 million from the comparable period of fiscal 2011. Cash used in investing activities included our acquisition of four asset protection businesses for cash payments aggregating $10.7 million and $3.7 million utilized to fund an acquisition prior to November 30, 2011, but which did not close until after November 30, 2011. Cash purchases of property, plant and equipment were $3.8 million and were primarily related to equipment used by our technicians.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$4.6 million for the six months ended November 30, 2012, a decrease of $7.6 million from the comparable period of fiscal 2012. Net cash used in financing activities related primarily to net borrowings of $12.3 million from our revolving credit facility offset by payments of capital lease obligations, notes payable and other long-term debt, and contingent consideration of $3.4 million, $3.1 million, 1.3 million, respectively.</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$12.3 million for the six months ended November 30, 2011, an increase of $10.0 million from the comparable period of fiscal 2011. Net cash provided by financing activities related primarily to net borrowings under our revolving credit facility of $19.0 million and proceeds of $1.3 million received from the exercise of stock options, offset by repayments of our capital lease obligations, long-term debt, and other short-term borrowings of $3.4 million, $2.8 million, $1.9 million, respectively.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Exchange Rate Changes on Cash and Cash Equivalents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effect of exchange rate changes on our cash and cash equivalents was approximately ($0.2) million and ($0.1) million for the six months ended November 30, 2012 and 2011, respectively.</w:t>
      </w:r>
    </w:p>
    <w:p>
      <w:pPr>
        <w:sectPr>
          <w:pgSz w:w="11900" w:h="16838" w:orient="portrait"/>
          <w:cols w:equalWidth="0" w:num="1">
            <w:col w:w="11400"/>
          </w:cols>
          <w:pgMar w:left="240" w:top="121" w:right="259" w:bottom="0" w:gutter="0" w:footer="0" w:header="0"/>
        </w:sectPr>
      </w:pPr>
    </w:p>
    <w:bookmarkStart w:id="22" w:name="page23"/>
    <w:bookmarkEnd w:id="22"/>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Balance and Credit Facility Borrowings</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As of November 30, 2012, we had cash and cash equivalents totaling $8.0 million and available borrowing capacity of $84.7 million under our current revolving credit facility. As of November 30, 2012, there were outstanding borrowings of 37.3 million and a total of $3.0 million of outstanding letters of credit under the existing revolving credit facility. We finance our operations primarily through our existing cash balances, cash collected from operations, bank borrowings and capital lease financing. We believe these sources are sufficient to fund our operations for the foreseeable future.</w:t>
      </w:r>
    </w:p>
    <w:p>
      <w:pPr>
        <w:spacing w:after="0" w:line="18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In December 2011, we entered into a Third Amended and Restated Credit Agreement (Credit Agreement), with Bank of America, N.A., as agent for the lenders and a lender, and JPMorgan Chase Bank, N.A., Keybank National Association and TD Bank, N.A., as lenders. The Credit Agreement provides us with a $125 million revolving line of credit, which, under certain circumstances, can be increased to $150 million. The Credit Agreement has a maturity date of December 20, 2016 and permits us to borrow up to $30 million in non-US dollar currencies and to use up to $10 million of the credit limit for the issuance of letters of credit. Loans under the Credit Agreement bear interest at our option, at LIBOR plus an applicable LIBOR margin ranging from 1% to 2%, or a base rate less a margin of 0.25% to 1.25%, or based upon our Funded Debt Leverage Ratio. Funded Debt Leverage Ratio is generally the ratio of (1) all outstanding indebtedness for borrowed money and other interest-bearing indebtedness as of the date of determination to (2) EBITDA, as defined in the Credit Agreement, (which is (a) net income, less (b) income (or plus loss) from discontinued operations and extraordinary items, plus (c) income tax expenses, plus</w:t>
      </w:r>
    </w:p>
    <w:p>
      <w:pPr>
        <w:spacing w:after="0" w:line="1" w:lineRule="exact"/>
        <w:rPr>
          <w:sz w:val="20"/>
          <w:szCs w:val="20"/>
          <w:color w:val="auto"/>
        </w:rPr>
      </w:pPr>
    </w:p>
    <w:p>
      <w:pPr>
        <w:ind w:right="80" w:firstLine="8"/>
        <w:spacing w:after="0" w:line="252"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plus (e) depreciation, depletion, and amortization (including non-cash loss on retirement of assets), plus (f) stock compensation expense, less (g) cash expense related to stock compensation, plus or minus certain other adjustments) for the period of four consecutive fiscal quarters immediately preceding the date of determination. We have the benefit of the lowest margin if our Funded Debt Leverage Ratio is equal to or less than 0.5 to 1, and the margin increases as the ratio increases, to the maximum margin if the ratio is greater than 2.5 to 1. We will also bear additional costs for market disruption, regulatory changes effecting the lenders’ funding costs, and default pricing of an additional 2% interest rate margin if the Funded Debt Leverage Ratio exceeds 3.0 to 1. Amounts borrowed under our Credit Agreement are secured by liens on substantially all of our assets.</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Credit Agreement contains financial covenants requiring that we maintain a Funded Debt Leverage Ratio of less than 3.0 to 1 and an Interest Coverage Ratio of at least 3.0 to 1. Interest Coverage Ratio means the ratio, as of any date of determination, of (a) EBITDA, as defined in the Credit Agreement, for the 12 month period immediately preceding the date of determination, to (b) all interest, premium payments, debt discount, fees, charges and related expenses of us and our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Credit Agreement also limits our ability to, among other things, create liens, make investments, incur more indebtedness, merge or consolidate, make dispositions of property, pay dividends and make distributions to stockholders, enter into a new line of business, enter into transactions with affiliates and enter into burdensome agreements. The Credit Agreement does not limit our ability to acquire other businesses or companies except that the acquired business or company must be in our line of business, we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9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As of November 30, 2012, we were in compliance with the terms of the credit agreement, and we will continuously monitor our compliance with the covenants contained in our new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Outlook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Sources of Cash</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expect our future sources of cash to include cash flow from operations and cash borrowed under our revolving credit facility. Our revolving credit facility is available for cash advances required for working capital and for letters of credit to support our operations. To meet our short-and long-term liquidity requirements, we expect primarily to rely on cash generated from our operating activities and borrowings under our revolving credit facility. We are currently funding our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acquisitions through our available cash, borrowings under our revolving credit facility and seller notes. We have an effective shelf registration statement with the SEC for the issuance of up to approximately $64.2 million of securities, including shares of common and preferred stock, debt securities, warrants and units. Accordingly, we may also seek to obtain capital through the issuance of debt or equity securities, or a combination of both. As of December 31, 2012, there were outstanding borrowings of approximately $40.0 million and approximately $3.0 million of outstanding letters of credit under our revolving credit facility.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Uses of Cash</w:t>
      </w:r>
    </w:p>
    <w:p>
      <w:pPr>
        <w:spacing w:after="0" w:line="229"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We expect our future uses of cash will primarily be for acquisitions, international expansion, purchases or manufacture of field testing equipment to support growth, additional investments in technology and software products and the replacement of existing assets and equipment used in our operations. We often make purchases to support new sources of revenues, particularly in our Services segment. In addition, we will need to fund a certain amount of replacement equipment, including our fleet vehicles. We historically spend approximately 3% to 4% of our total revenues on capital expenditures, excluding acquisitions, and expect to fund these expenditures through a combination of cash and lease financing.</w:t>
      </w:r>
    </w:p>
    <w:p>
      <w:pPr>
        <w:spacing w:after="0" w:line="18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Our anticipated acquisitions may also require capital. Since the beginning of fiscal 2013 through January 8, 2013, we completed the acquisition of three companies, with an initial cash outlay of $34.9 million. In some cases, additional equipment will be needed to upgrade the capabilities of these acquired companies. In addition, our future acquisition and capital spending may increase as we pursue growth opportunities. Other investments in infrastructure, training and software may also be required to match our growth, but we plan to continue using a disciplined approach to building our business. In addition, we will use cash to fund our operating leases, capital leases and long-term debt repayments and various other obligations as they arise.</w:t>
      </w:r>
    </w:p>
    <w:p>
      <w:pPr>
        <w:spacing w:after="0" w:line="18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We also expect to use cash to support our working capital requirements for our operations, particularly in the event of further growth and due to the impacts of seasonality on our business. Our future working capital requirements will depend on many factors, including the rate of our revenue growth, our introduction of new solutions and enhancements to existing solutions and our expansion of sales and marketing and product development activities. To the extent that our cash and cash equivalents and future cash flows from operating activities are insufficient to fund our future activities, we may need to raise additional funds through bank credit arrangements, public or private equity financings, or debt financings. We also may need to raise additional funds in the event we</w:t>
      </w:r>
    </w:p>
    <w:p>
      <w:pPr>
        <w:sectPr>
          <w:pgSz w:w="11900" w:h="16859" w:orient="portrait"/>
          <w:cols w:equalWidth="0" w:num="1">
            <w:col w:w="11420"/>
          </w:cols>
          <w:pgMar w:left="240" w:top="117" w:right="239" w:bottom="0" w:gutter="0" w:footer="0" w:header="0"/>
        </w:sectPr>
      </w:pPr>
    </w:p>
    <w:bookmarkStart w:id="23" w:name="page24"/>
    <w:bookmarkEnd w:id="23"/>
    <w:p>
      <w:pPr>
        <w:ind w:right="80"/>
        <w:spacing w:after="0" w:line="282" w:lineRule="auto"/>
        <w:rPr>
          <w:sz w:val="20"/>
          <w:szCs w:val="20"/>
          <w:color w:val="auto"/>
        </w:rPr>
      </w:pPr>
      <w:r>
        <w:rPr>
          <w:rFonts w:ascii="Times New Roman" w:cs="Times New Roman" w:eastAsia="Times New Roman" w:hAnsi="Times New Roman"/>
          <w:sz w:val="18"/>
          <w:szCs w:val="18"/>
          <w:color w:val="auto"/>
        </w:rPr>
        <w:t>determine in the future to effect one or more acquisitions of businesses, technologies or products that will complement our existing operations. In the event additional funding is required, we may not be able to obtain bank credit arrangements or effect an equity or debt financing on terms acceptable to us or at 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 September 2012, the Company completed an acquisition of an asset protection company in Germany specializing in destructive and non-destructive services and inspection. The Company acquired 100% of the common stock of the acquiree in exchange for approximately $28.3 million in cash, and $7.7 million in notes payable. The note is payable in three equal installments of approximately $2.6 million due on each anniversary of the closing date. In addition, the acquisition agreement provides for annual contingent consideration payments of up to $2.6 million upon the achievement of specific annual performance metrics over the next five years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During the six months ended November 30, 2012,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foreign currency exposure related to our operations in foreign locations. This foreign currency exposure, particularly the Euro, British Pound Sterling, Brazilian Real, Russian Ruble, Japanese Yen, Canadian Dollar and the Indian Rupee, arises primarily from the translation of our foreign subsidiaries’ financial statements into U.S. Dollars. For example, a portion of our annual sales and operating costs are denominated in British Pound Sterling and we have exposure related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sales and operating costs increasing or decreasing based on changes in currency exchange rates. If the U.S. Dollar increases in value against these foreign currencies, the value in U.S. Dollars of the assets and liabilities originally recorded in these foreign currencies will decrease. Conversely, if the U.S. Dollar decreases in value against these foreign currencies, the value in U.S. Dollars of the assets and liabilities originally recorded in these foreign currencies will increase. Thus, increases and decreases in the value of the U.S. Dollar relative to these foreign currencies have a direct impact on the value in U.S. Dollars of our foreign currency denominated assets and liabilities, even if the value of these items has not changed in their original currency. For our foreign subsidiaries, assets and liabilities are translated at period ending rates of exchange. Translation adjustments for the assets and liability accounts are included in accumulated other comprehensive loss in stockholders’ equity. We had approximately $0.5 million of foreign currency translation losses in other comprehensive income for the first six months of fiscal 2013. We do not currently enter into forward exchange contracts to hedge exposures to foreign currencies. We may consider entering into hedging or forward exchange contracts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interest rate on our revolving credit facility currently ranges from 1.30% to 2.30% and is variable and adjusts periodically. As of November 30, 2012, there were outstanding borrowings of $37.3 million under our revolving credit facility. A hypothetical 100 basis point adverse shift in interest rates would not have had a material effect on our results of operations.</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From time to time, we may enter into interest rate swap contracts whereby we would receive or pay an amount equal to the difference between a fixed rate and LIBOR on a quarterly basis in order to reduce our potential exposure to interest rate fluctuations. All gains and losses are recognized as an adjustment to interest expense and the combined fair values are recorded in other liabilities on the consolidated balance sheet. As of November 30, 2012, we had no such contracts in effect.</w:t>
      </w:r>
    </w:p>
    <w:p>
      <w:pPr>
        <w:spacing w:after="0" w:line="18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had cash and cash equivalents of $8.0 million as of November 30, 2012. These amounts are held for working capital purposes and were invested primarily in bank deposits, money market funds and short-term, interest-bearing, investment-grade securities. Due to the short-term nature of these investments, we believe that we do not have any material exposure to changes in the fair value of our investment portfolio as a result of changes in interest rates.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believe that we have material exposure to market risk with respect to investments, as our investments consist primarily of highly liquid investments purchased with a remaining maturity of three months or less. We do not use derivative financial instruments for speculative or trading purposes; however, this does not preclude our adoption of specific hedging strategies in the future.</w:t>
      </w:r>
    </w:p>
    <w:p>
      <w:pPr>
        <w:spacing w:after="0" w:line="17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November 30, 2012, the Company carried out an evaluation, under the supervision and with the participation of the Company’s management, including the Company’s Chief Executive Officer and the Company’s Chief Financial Officer, of the effectiveness of the design and operation of the Company’s disclosure controls and procedures, as such term is defined in Rule 13a-15(e). Based on the evaluation, the Company’s Chief Executive Officer and Chief Financial Officer have concluded that the Company’s disclosure controls and procedures are effective to ensure that information required to be disclosed by the Company in the reports it files or submits under the Securities Exchange Act of 1934, as amended, is recorded, processed, summarized and reported within the time periods specified in Securities and Exchange Commission rules and forms.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ectPr>
          <w:pgSz w:w="11900" w:h="16838" w:orient="portrait"/>
          <w:cols w:equalWidth="0" w:num="1">
            <w:col w:w="11400"/>
          </w:cols>
          <w:pgMar w:left="240" w:top="121" w:right="259" w:bottom="108" w:gutter="0" w:footer="0" w:header="0"/>
        </w:sectPr>
      </w:pPr>
    </w:p>
    <w:bookmarkStart w:id="24" w:name="page25"/>
    <w:bookmarkEnd w:id="24"/>
    <w:p>
      <w:pPr>
        <w:ind w:right="180"/>
        <w:spacing w:after="0" w:line="282"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that occurred during the Company’s quarter ended November 30, 2012 that has materially affected, or is reasonably likely to materially affect, such internal control over financial reporting.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received notice of a governmental investigation concerning an environmental incident which occurred in February 2011, outside on the premises of our Cudahy, California facility. We acquired this facility as part of the acquisition in October 2010 of the assets and ongoing business operations of General Testing and Inspection, Inc. (“GTI”), a business which provides in-house or shop inspection and non-destructive testing at the Cudahy premises. On February 11, 2011, while liquid hazardous waste was being pumped into the tanker truck of an unaffiliated certified hazardous waste transporter at the Cudahy facility, a chemical reaction occurred that caused an emission of a vapor cloud. No human injury or property damage was reported or appears to have been caused as a result of the incident. The incident was investigated by the L.A. Country Fire Department (the “Fire Department”) and the U.S. Environmental Protection Agency (“EPA”). At the conclusion of the Fire Department’s investigation, the Fire Department imposed on the Company a fine in the amount of $4,000 for alleged violations of the California Health and Safety Code in April 2011, which was paid shortly thereafter.</w:t>
      </w:r>
    </w:p>
    <w:p>
      <w:pPr>
        <w:spacing w:after="0" w:line="18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received no further governmental communications or notices concerning fines or sanctions related to the incident until January 13, 2012, when we received grand jury subpoenas from the U.S. Attorney’s Office for the Central District of California addressed to the Company, GTI and an employee of the Company. These subpoenas were issued in connection with an EPA criminal investigation. The subpoena received by the Company requested documents and information relating to, among other things, our handling, identification, storage and disposal of hazardous waste, training records, corporate environmental policies, acquisition of GTI and any ongoing organization relationship with GTI, and analytical results of the tests concerning the hazardous materials involved in the incident. In April 2012, we were informed by the U.S. Attorney’s Office for the Central District of California that we are a target of a criminal investigation into potential violations of the Resource Conservation and Recovery Act. The violations are alleged to be related to purportedly improper storage and labeling of hazardous waste at the Cudahy facility. This U.S. Attorney’s Office also raised a concern about a possible obstruction of justice issue involving the conduct of one or more of our employees at this facility. Upon receiving the subpoenas, we engaged our outside legal counsel to assist us in conducting an investigation concerning the incident, including interviews with our current employees. To date, we have produced documents in response to the subpoena, and are aware of at least one of our employees having testified before the grand jury.</w:t>
      </w:r>
    </w:p>
    <w:p>
      <w:pPr>
        <w:spacing w:after="0" w:line="19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While management cannot predict the ultimate outcome of this matter, based on our internal investigation to date, management does not believe the outcome will have a material effect on the Company’s financial condition, results of operations, or its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to the financial statements included in this report for a description of our other legal proceedings.</w:t>
      </w:r>
    </w:p>
    <w:p>
      <w:pPr>
        <w:spacing w:after="0" w:line="22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risk factors discussed under the “Risk Factors” section included in our Annual Report on Form 10-K, filed with the SEC on August 14, 2012. There have been no material changes to the risk factors previously disclosed in the Annual Report.</w:t>
      </w:r>
    </w:p>
    <w:p>
      <w:pPr>
        <w:spacing w:after="0" w:line="17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 of Equity Securities and Use of Proceeds</w:t>
      </w:r>
    </w:p>
    <w:p>
      <w:pPr>
        <w:spacing w:after="0" w:line="225" w:lineRule="exact"/>
        <w:rPr>
          <w:sz w:val="20"/>
          <w:szCs w:val="20"/>
          <w:color w:val="auto"/>
        </w:rPr>
      </w:pPr>
    </w:p>
    <w:p>
      <w:pPr>
        <w:ind w:left="660" w:right="8780" w:hanging="652"/>
        <w:spacing w:after="0" w:line="501" w:lineRule="auto"/>
        <w:tabs>
          <w:tab w:leader="none" w:pos="267"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Sales of Unregistered Securities </w:t>
      </w:r>
      <w:r>
        <w:rPr>
          <w:rFonts w:ascii="Times New Roman" w:cs="Times New Roman" w:eastAsia="Times New Roman" w:hAnsi="Times New Roman"/>
          <w:sz w:val="18"/>
          <w:szCs w:val="18"/>
          <w:color w:val="auto"/>
        </w:rPr>
        <w:t>None.</w:t>
      </w:r>
    </w:p>
    <w:p>
      <w:pPr>
        <w:ind w:left="660" w:right="6960" w:hanging="652"/>
        <w:spacing w:after="0" w:line="501" w:lineRule="auto"/>
        <w:tabs>
          <w:tab w:leader="none" w:pos="267"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Use of Proceeds from Public Offering of Common Stock </w:t>
      </w:r>
      <w:r>
        <w:rPr>
          <w:rFonts w:ascii="Times New Roman" w:cs="Times New Roman" w:eastAsia="Times New Roman" w:hAnsi="Times New Roman"/>
          <w:sz w:val="18"/>
          <w:szCs w:val="18"/>
          <w:color w:val="auto"/>
        </w:rPr>
        <w:t>None.</w:t>
      </w:r>
    </w:p>
    <w:p>
      <w:pPr>
        <w:ind w:left="260" w:hanging="252"/>
        <w:spacing w:after="0"/>
        <w:tabs>
          <w:tab w:leader="none" w:pos="2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Repurchases of Our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Balance Sheet as of November 30, 2012 included in this filing differs from a Balance Sheet for the same period that was included in our Current Report on Form 8-K filed on January 8, 2013. The Balance Sheet in this report includes a subsequent adjustment of $8.2 million which increased the following</w:t>
      </w:r>
    </w:p>
    <w:p>
      <w:pPr>
        <w:sectPr>
          <w:pgSz w:w="11900" w:h="16838" w:orient="portrait"/>
          <w:cols w:equalWidth="0" w:num="1">
            <w:col w:w="11400"/>
          </w:cols>
          <w:pgMar w:left="240" w:top="121" w:right="259" w:bottom="0" w:gutter="0" w:footer="0" w:header="0"/>
        </w:sectPr>
      </w:pPr>
    </w:p>
    <w:bookmarkStart w:id="25" w:name="page26"/>
    <w:bookmarkEnd w:id="25"/>
    <w:p>
      <w:pPr>
        <w:ind w:right="680"/>
        <w:spacing w:after="0" w:line="282" w:lineRule="auto"/>
        <w:rPr>
          <w:sz w:val="20"/>
          <w:szCs w:val="20"/>
          <w:color w:val="auto"/>
        </w:rPr>
      </w:pPr>
      <w:r>
        <w:rPr>
          <w:rFonts w:ascii="Times New Roman" w:cs="Times New Roman" w:eastAsia="Times New Roman" w:hAnsi="Times New Roman"/>
          <w:sz w:val="18"/>
          <w:szCs w:val="18"/>
          <w:color w:val="auto"/>
        </w:rPr>
        <w:t>Balance Sheet accounts by this amount: (1) Goodwill, (2) Deferred Income Taxes, and (3) the total line items Total Assets, Total Liabilities and Total Liabilities, Preferred Stock and Equity. No other financial statements were impacted by this adjustment.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40" w:type="dxa"/>
            <w:vAlign w:val="bottom"/>
          </w:tcPr>
          <w:p>
            <w:pPr>
              <w:spacing w:after="0"/>
              <w:rPr>
                <w:sz w:val="20"/>
                <w:szCs w:val="20"/>
                <w:color w:val="auto"/>
              </w:rPr>
            </w:pPr>
          </w:p>
        </w:tc>
      </w:tr>
      <w:tr>
        <w:trPr>
          <w:trHeight w:val="36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40" w:type="dxa"/>
            <w:vAlign w:val="bottom"/>
          </w:tcPr>
          <w:p>
            <w:pPr>
              <w:spacing w:after="0"/>
              <w:rPr>
                <w:sz w:val="24"/>
                <w:szCs w:val="24"/>
                <w:color w:val="auto"/>
              </w:rPr>
            </w:pPr>
          </w:p>
        </w:tc>
        <w:tc>
          <w:tcPr>
            <w:tcW w:w="9920" w:type="dxa"/>
            <w:vAlign w:val="bottom"/>
            <w:tcBorders>
              <w:bottom w:val="single" w:sz="8" w:color="auto"/>
            </w:tcBorders>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 under the Securities Exchange Act of 1934.</w:t>
            </w:r>
          </w:p>
        </w:tc>
        <w:tc>
          <w:tcPr>
            <w:tcW w:w="40" w:type="dxa"/>
            <w:vAlign w:val="bottom"/>
          </w:tcPr>
          <w:p>
            <w:pPr>
              <w:spacing w:after="0"/>
              <w:rPr>
                <w:sz w:val="24"/>
                <w:szCs w:val="24"/>
                <w:color w:val="auto"/>
              </w:rPr>
            </w:pP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under the Securities Exchange Act of 1934.</w:t>
            </w:r>
          </w:p>
        </w:tc>
        <w:tc>
          <w:tcPr>
            <w:tcW w:w="40" w:type="dxa"/>
            <w:vAlign w:val="bottom"/>
          </w:tcPr>
          <w:p>
            <w:pPr>
              <w:spacing w:after="0"/>
              <w:rPr>
                <w:sz w:val="24"/>
                <w:szCs w:val="24"/>
                <w:color w:val="auto"/>
              </w:rPr>
            </w:pP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Certification pursuant to Section 906 of the Sarbanes-Oxley Act of 2002.</w:t>
            </w:r>
          </w:p>
        </w:tc>
        <w:tc>
          <w:tcPr>
            <w:tcW w:w="40" w:type="dxa"/>
            <w:vAlign w:val="bottom"/>
          </w:tcPr>
          <w:p>
            <w:pPr>
              <w:spacing w:after="0"/>
              <w:rPr>
                <w:sz w:val="24"/>
                <w:szCs w:val="24"/>
                <w:color w:val="auto"/>
              </w:rPr>
            </w:pP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c>
          <w:tcPr>
            <w:tcW w:w="40" w:type="dxa"/>
            <w:vAlign w:val="bottom"/>
          </w:tcPr>
          <w:p>
            <w:pPr>
              <w:spacing w:after="0"/>
              <w:rPr>
                <w:sz w:val="24"/>
                <w:szCs w:val="24"/>
                <w:color w:val="auto"/>
              </w:rPr>
            </w:pP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XBRL Schema Document</w:t>
            </w:r>
          </w:p>
        </w:tc>
        <w:tc>
          <w:tcPr>
            <w:tcW w:w="40" w:type="dxa"/>
            <w:vAlign w:val="bottom"/>
          </w:tcPr>
          <w:p>
            <w:pPr>
              <w:spacing w:after="0"/>
              <w:rPr>
                <w:sz w:val="24"/>
                <w:szCs w:val="24"/>
                <w:color w:val="auto"/>
              </w:rPr>
            </w:pP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XBRL Calculation Linkbase Document</w:t>
            </w:r>
          </w:p>
        </w:tc>
        <w:tc>
          <w:tcPr>
            <w:tcW w:w="40" w:type="dxa"/>
            <w:vAlign w:val="bottom"/>
          </w:tcPr>
          <w:p>
            <w:pPr>
              <w:spacing w:after="0"/>
              <w:rPr>
                <w:sz w:val="24"/>
                <w:szCs w:val="24"/>
                <w:color w:val="auto"/>
              </w:rPr>
            </w:pP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XBRL Labels Linkbase Document</w:t>
            </w:r>
          </w:p>
        </w:tc>
        <w:tc>
          <w:tcPr>
            <w:tcW w:w="40" w:type="dxa"/>
            <w:vAlign w:val="bottom"/>
          </w:tcPr>
          <w:p>
            <w:pPr>
              <w:spacing w:after="0"/>
              <w:rPr>
                <w:sz w:val="24"/>
                <w:szCs w:val="24"/>
                <w:color w:val="auto"/>
              </w:rPr>
            </w:pP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XBRL Presentation Linkbase Document</w:t>
            </w:r>
          </w:p>
        </w:tc>
        <w:tc>
          <w:tcPr>
            <w:tcW w:w="40" w:type="dxa"/>
            <w:vAlign w:val="bottom"/>
          </w:tcPr>
          <w:p>
            <w:pPr>
              <w:spacing w:after="0"/>
              <w:rPr>
                <w:sz w:val="24"/>
                <w:szCs w:val="24"/>
                <w:color w:val="auto"/>
              </w:rPr>
            </w:pP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XBRL Definition Linkbase Document</w:t>
            </w:r>
          </w:p>
        </w:tc>
        <w:tc>
          <w:tcPr>
            <w:tcW w:w="4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1016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24"/>
                <w:szCs w:val="24"/>
                <w:color w:val="auto"/>
              </w:rPr>
            </w:pPr>
          </w:p>
        </w:tc>
      </w:tr>
      <w:tr>
        <w:trPr>
          <w:trHeight w:val="132"/>
        </w:trPr>
        <w:tc>
          <w:tcPr>
            <w:tcW w:w="12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9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MISTRAS GROUP, INC.</w:t>
      </w:r>
    </w:p>
    <w:p>
      <w:pPr>
        <w:spacing w:after="0" w:line="229" w:lineRule="exact"/>
        <w:rPr>
          <w:sz w:val="20"/>
          <w:szCs w:val="20"/>
          <w:color w:val="auto"/>
        </w:rPr>
      </w:pPr>
    </w:p>
    <w:p>
      <w:pPr>
        <w:jc w:val="center"/>
        <w:ind w:left="5840"/>
        <w:spacing w:after="0"/>
        <w:tabs>
          <w:tab w:leader="none" w:pos="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FRANCIS T. JOYCE</w:t>
      </w:r>
    </w:p>
    <w:p>
      <w:pPr>
        <w:spacing w:after="0" w:line="27" w:lineRule="exact"/>
        <w:rPr>
          <w:sz w:val="20"/>
          <w:szCs w:val="20"/>
          <w:color w:val="auto"/>
        </w:rPr>
      </w:pPr>
    </w:p>
    <w:p>
      <w:pPr>
        <w:jc w:val="center"/>
        <w:ind w:left="2480"/>
        <w:spacing w:after="0"/>
        <w:rPr>
          <w:sz w:val="20"/>
          <w:szCs w:val="20"/>
          <w:color w:val="auto"/>
        </w:rPr>
      </w:pPr>
      <w:r>
        <w:rPr>
          <w:rFonts w:ascii="Times New Roman" w:cs="Times New Roman" w:eastAsia="Times New Roman" w:hAnsi="Times New Roman"/>
          <w:sz w:val="18"/>
          <w:szCs w:val="18"/>
          <w:color w:val="auto"/>
        </w:rPr>
        <w:t>Francis T.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-130810</wp:posOffset>
            </wp:positionV>
            <wp:extent cx="32073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3"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(Principal Financial Officer and duly authorized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9, 2013</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Sotirios J. Vahaviolos, certify that:</w:t>
      </w:r>
    </w:p>
    <w:p>
      <w:pPr>
        <w:spacing w:after="0" w:line="225"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Mistras Group, Inc.;</w:t>
      </w:r>
    </w:p>
    <w:p>
      <w:pPr>
        <w:spacing w:after="0" w:line="225"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2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640" w:hanging="644"/>
        <w:spacing w:after="0" w:line="282" w:lineRule="auto"/>
        <w:tabs>
          <w:tab w:leader="none" w:pos="12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9, 2013</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Sotirios J. Vahaviolos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Francis T. Joyce, certify that:</w:t>
      </w:r>
    </w:p>
    <w:p>
      <w:pPr>
        <w:spacing w:after="0" w:line="225"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Mistras Group, Inc.;</w:t>
      </w:r>
    </w:p>
    <w:p>
      <w:pPr>
        <w:spacing w:after="0" w:line="225"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29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640" w:hanging="644"/>
        <w:spacing w:after="0" w:line="282" w:lineRule="auto"/>
        <w:tabs>
          <w:tab w:leader="none" w:pos="129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9, 2013</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Francis T. Joyce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Francis T.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Executive Vice President, Chief Financial</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Officer and Treasurer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November 30, 2012 (the “Report”), fully complies with the requirements of Section 13(a) of the Securities Exchange Act of 1934 and that the information contained in such report fairly presents, in all material respects, the financial condition and results of operations of the Company. This written statement is being furnished to the Securities and Exchange Commission as an exhibit to the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9, 2013</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Sotirios J. Vahaviolos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Francis T. Joyce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Francis T.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Executive Vice President, Chief Financial</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Officer and Treasurer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3"/>
    </w:lvl>
  </w:abstractNum>
  <w:abstractNum w:abstractNumId="5">
    <w:nsid w:val="66EF438D"/>
    <w:multiLevelType w:val="hybridMultilevel"/>
    <w:lvl w:ilvl="0">
      <w:lvlJc w:val="left"/>
      <w:lvlText w:val="%1."/>
      <w:numFmt w:val="decimal"/>
      <w:start w:val="4"/>
    </w:lvl>
  </w:abstractNum>
  <w:abstractNum w:abstractNumId="6">
    <w:nsid w:val="140E0F76"/>
    <w:multiLevelType w:val="hybridMultilevel"/>
    <w:lvl w:ilvl="0">
      <w:lvlJc w:val="left"/>
      <w:lvlText w:val="(%1)"/>
      <w:numFmt w:val="decimal"/>
      <w:start w:val="2"/>
    </w:lvl>
  </w:abstractNum>
  <w:abstractNum w:abstractNumId="7">
    <w:nsid w:val="3352255A"/>
    <w:multiLevelType w:val="hybridMultilevel"/>
    <w:lvl w:ilvl="0">
      <w:lvlJc w:val="left"/>
      <w:lvlText w:val="%1."/>
      <w:numFmt w:val="decimal"/>
      <w:start w:val="5"/>
    </w:lvl>
  </w:abstractNum>
  <w:abstractNum w:abstractNumId="8">
    <w:nsid w:val="109CF92E"/>
    <w:multiLevelType w:val="hybridMultilevel"/>
    <w:lvl w:ilvl="0">
      <w:lvlJc w:val="left"/>
      <w:lvlText w:val="%1."/>
      <w:numFmt w:val="decimal"/>
      <w:start w:val="9"/>
    </w:lvl>
  </w:abstractNum>
  <w:abstractNum w:abstractNumId="9">
    <w:nsid w:val="DED7263"/>
    <w:multiLevelType w:val="hybridMultilevel"/>
    <w:lvl w:ilvl="0">
      <w:lvlJc w:val="left"/>
      <w:lvlText w:val="(%1)"/>
      <w:numFmt w:val="lowerLetter"/>
      <w:start w:val="7"/>
    </w:lvl>
  </w:abstractNum>
  <w:abstractNum w:abstractNumId="10">
    <w:nsid w:val="7FDCC233"/>
    <w:multiLevelType w:val="hybridMultilevel"/>
    <w:lvl w:ilvl="0">
      <w:lvlJc w:val="left"/>
      <w:lvlText w:val="%1."/>
      <w:numFmt w:val="decimal"/>
      <w:start w:val="11"/>
    </w:lvl>
  </w:abstractNum>
  <w:abstractNum w:abstractNumId="11">
    <w:nsid w:val="1BEFD79F"/>
    <w:multiLevelType w:val="hybridMultilevel"/>
    <w:lvl w:ilvl="0">
      <w:lvlJc w:val="left"/>
      <w:lvlText w:val="%1."/>
      <w:numFmt w:val="decimal"/>
      <w:start w:val="12"/>
    </w:lvl>
  </w:abstractNum>
  <w:abstractNum w:abstractNumId="12">
    <w:nsid w:val="41A7C4C9"/>
    <w:multiLevelType w:val="hybridMultilevel"/>
    <w:lvl w:ilvl="0">
      <w:lvlJc w:val="left"/>
      <w:lvlText w:val="%1."/>
      <w:numFmt w:val="decimal"/>
      <w:start w:val="13"/>
    </w:lvl>
  </w:abstractNum>
  <w:abstractNum w:abstractNumId="13">
    <w:nsid w:val="6B68079A"/>
    <w:multiLevelType w:val="hybridMultilevel"/>
    <w:lvl w:ilvl="0">
      <w:lvlJc w:val="left"/>
      <w:lvlText w:val="%1."/>
      <w:numFmt w:val="decimal"/>
      <w:start w:val="14"/>
    </w:lvl>
  </w:abstractNum>
  <w:abstractNum w:abstractNumId="14">
    <w:nsid w:val="4E6AFB66"/>
    <w:multiLevelType w:val="hybridMultilevel"/>
    <w:lvl w:ilvl="0">
      <w:lvlJc w:val="left"/>
      <w:lvlText w:val="(%1)"/>
      <w:numFmt w:val="lowerLetter"/>
      <w:start w:val="4"/>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2019-12-07T19:12:36Z</dcterms:created>
  <dcterms:modified xsi:type="dcterms:W3CDTF">2019-12-07T19:12:36Z</dcterms:modified>
</cp:coreProperties>
</file>